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TierHaltKennzG — Kennzeichnung in Farbe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31.08.2023 (konsolidierte Textfassung, kein amtliches Inkrafttretensdatum)</w:t>
      </w:r>
    </w:p>
    <w:p>
      <w:r>
        <w:t xml:space="preserve">Abweichend von § 7 Absatz 2 kann die verpflichtende Kennzeichnung nach § 3 Absatz 1 nach Maßgabe des Musters und der technischen Beschreibung der Anlage 7 mit mintgrünem Hintergrund verwendet werden.</w:t>
      </w:r>
    </w:p>
    <w:p>
      <w:r>
        <w:rPr>
          <w:color w:val="555555"/>
          <w:sz w:val="17"/>
        </w:rPr>
        <w:t xml:space="preserve">Zitiervorschlag: § 8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TierHaltKennzG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