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30 TierHaltKennzG — Verarbeitung von Daten von Genehmigungsinhabern und ausländischen Betrieben</w:t>
      </w:r>
    </w:p>
    <w:p>
      <w:r>
        <w:rPr>
          <w:color w:val="555555"/>
          <w:sz w:val="18"/>
        </w:rPr>
        <w:t xml:space="preserve">Tierhaltungskennzeichnungsgesetz</w:t>
      </w:r>
    </w:p>
    <w:p>
      <w:r>
        <w:rPr>
          <w:color w:val="555555"/>
          <w:sz w:val="18"/>
        </w:rPr>
        <w:t xml:space="preserve">Stand: 23.07.2025 (konsolidierte Textfassung, kein amtliches Inkrafttretensdatum)</w:t>
      </w:r>
    </w:p>
    <w:p>
      <w:r>
        <w:t xml:space="preserve">(1) Die zuständigen Behörden sind befugt, die Daten nach § 22 Absatz 3, 5 und 6 Nummer 2, den §§ 23, 24 Absatz 1 bis 3, § 25 Absatz 2, § 26 Absatz 1, den §§ 27, 28 Absatz 2, § 29 Absatz 1 und § 32 Absatz 1 sowie die Nachweise nach § 22 Absatz 4 Satz 1 und 3 und Absatz 5, § 23 Absatz 2 Satz 2 und 4, § 25 Absatz 4 Satz 3 und § 27 Absatz 6 zu den in § 22 Absatz 1, § 23 Absatz 1 bis 3, § 24 Absatz 2 und 3, § 25 Absatz 1, § 27 Absatz 1, 2 und 5, den §§ 28, 29 Absatz 1 und § 32 Absatz 2 genannten Zwecken zu erheben, zu speichern und zu verwenden.</w:t>
      </w:r>
    </w:p>
    <w:p>
      <w:r>
        <w:t xml:space="preserve">(2) Die in Absatz 1 genannten Daten und Nachweise dürfen von den zuständigen Behörden außerdem zum Zwecke der Überwachung der Einhaltung der Vorschriften dieses Gesetzes verarbeitet, insbesondere an andere nach diesem Gesetz zuständige Behörden zur Verfügung gestellt, werden.</w:t>
      </w:r>
    </w:p>
    <w:p>
      <w:r>
        <w:rPr>
          <w:color w:val="555555"/>
          <w:sz w:val="17"/>
        </w:rPr>
        <w:t xml:space="preserve">Zitiervorschlag: § 30 TierHaltKennzG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https://recht.nulegal.eu/gesetze/TierHaltKennzG/30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30 TierHaltKennzG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