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TierHaltKennzG — Verwendung einer Kennnummer ausländischer Haltungseinrichtungen</w:t>
      </w:r>
    </w:p>
    <w:p>
      <w:r>
        <w:rPr>
          <w:color w:val="555555"/>
          <w:sz w:val="18"/>
        </w:rPr>
        <w:t xml:space="preserve">Tierhaltungskennzeichnungsgesetz</w:t>
      </w:r>
    </w:p>
    <w:p>
      <w:r>
        <w:rPr>
          <w:color w:val="555555"/>
          <w:sz w:val="18"/>
        </w:rPr>
        <w:t xml:space="preserve">Stand: 31.08.2023 (konsolidierte Textfassung, kein amtliches Inkrafttretensdatum)</w:t>
      </w:r>
    </w:p>
    <w:p>
      <w:r>
        <w:t xml:space="preserve">(1) Der Inhaber eines tierhaltenden Betriebs oder ein anderer Lebensmittelunternehmer kann die Kennnummer der Haltungseinrichtung, in der das Tier oder die Gruppe von Tieren im maßgeblichen Haltungsabschnitt gehalten wurde, dem Lebensmittelunternehmer in der nachfolgenden Produktions- oder Vertriebsstufe zusätzlich zu den Informationen über die Haltungsform zur Gewährleistung der Verbindung zwischen dem Lebensmittel und der Information über die Haltungsform des Tieres oder der Gruppe von Tieren, von dem oder der das Lebensmittel gewonnen wurde, übermitteln.</w:t>
      </w:r>
    </w:p>
    <w:p>
      <w:r>
        <w:t xml:space="preserve">(2) Wenn eine Haltungseinrichtung die Voraussetzungen für die Festlegung einer Kennnummer nach § 27 Absatz 1 Satz 1 nicht oder nicht mehr erfüllt, hat die Bundesanstalt für Landwirtschaft und Ernährung dem Inhaber des tierhaltenden Betriebs die Verwendung der Kennnummer zu verbieten.</w:t>
      </w:r>
    </w:p>
    <w:p>
      <w:r>
        <w:rPr>
          <w:color w:val="555555"/>
          <w:sz w:val="17"/>
        </w:rPr>
        <w:t xml:space="preserve">Zitiervorschlag: § 28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