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TierHaltKennzG — Begriffsbestimmungen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31.08.2023 (konsolidierte Textfassung, kein amtliches Inkrafttretensdatum)</w:t>
      </w:r>
    </w:p>
    <w:p>
      <w:r>
        <w:t xml:space="preserve">Im Sinne dieses Gesetzes ist oder sind:</w:t>
      </w:r>
    </w:p>
    <w:p>
      <w:pPr>
        <w:ind w:left="420"/>
      </w:pPr>
      <w:r>
        <w:t xml:space="preserve">1. Haltungseinrichtungen: Gebäude und Räume (Ställe) oder Behältnisse sowie sonstige Einrichtungen zur dauerhaften Unterbringung von Tieren;</w:t>
      </w:r>
    </w:p>
    <w:p>
      <w:pPr>
        <w:ind w:left="420"/>
      </w:pPr>
      <w:r>
        <w:t xml:space="preserve">2. tierhaltender Betrieb: eine aus einer oder mehreren Haltungseinrichtungen bestehende örtliche und wirtschaftliche Einheit zur Haltung von Tieren;</w:t>
      </w:r>
    </w:p>
    <w:p>
      <w:pPr>
        <w:ind w:left="420"/>
      </w:pPr>
      <w:r>
        <w:t xml:space="preserve">3. Inhaber des tierhaltenden Betriebs: die natürliche oder juristische Person, für deren Rechnung und in deren Namen der tierhaltende Betrieb bewirtschaftet wird und die rechtlich und wirtschaftlich für den tierhaltenden Betrieb verantwortlich ist;</w:t>
      </w:r>
    </w:p>
    <w:p>
      <w:pPr>
        <w:ind w:left="420"/>
      </w:pPr>
      <w:r>
        <w:t xml:space="preserve">4. maßgeblicher Haltungsabschnitt: zeitlich begrenzter Abschnitt der Haltung von Tieren, in dem die Haltung stattgefunden hat, die für die Kennzeichnung der Haltungsform entscheidend ist;</w:t>
      </w:r>
    </w:p>
    <w:p>
      <w:pPr>
        <w:ind w:left="420"/>
      </w:pPr>
      <w:r>
        <w:t xml:space="preserve">5. Lebensmittel: Lebensmittel im Sinne des Artikels 2 der Verordnung (EG) Nr. 178/2002;</w:t>
      </w:r>
    </w:p>
    <w:p>
      <w:pPr>
        <w:ind w:left="420"/>
      </w:pPr>
      <w:r>
        <w:t xml:space="preserve">6. Lebensmittelunternehmer: Lebensmittelunternehmer im Sinne des Artikels 3 Nummer 3 der Verordnung (EG) Nr. 178/2002;</w:t>
      </w:r>
    </w:p>
    <w:p>
      <w:pPr>
        <w:ind w:left="420"/>
      </w:pPr>
      <w:r>
        <w:t xml:space="preserve">7. Inverkehrbringen: Inverkehrbringen im Sinne des Artikels 3 Nummer 8 der Verordnung (EG) Nr. 178/2002;</w:t>
      </w:r>
    </w:p>
    <w:p>
      <w:pPr>
        <w:ind w:left="420"/>
      </w:pPr>
      <w:r>
        <w:t xml:space="preserve">8. Endverbraucher: Endverbraucher im Sinne des Artikels 3 Nummer 18 der Verordnung (EG) Nr. 178/2002;</w:t>
      </w:r>
    </w:p>
    <w:p>
      <w:pPr>
        <w:ind w:left="420"/>
      </w:pPr>
      <w:r>
        <w:t xml:space="preserve">9. vorverpacktes Lebensmittel: vorverpacktes Lebensmittel im Sinne des Artikels 2 Absatz 2 Buchstabe e der Verordnung (EU) Nr. 1169/2011;</w:t>
      </w:r>
    </w:p>
    <w:p>
      <w:pPr>
        <w:ind w:left="420"/>
      </w:pPr>
      <w:r>
        <w:t xml:space="preserve">10. Kennzeichnung: Kennzeichnung im Sinne des Artikels 2 Absatz 2 Buchstabe j der Verordnung (EU) Nr. 1169/2011;</w:t>
      </w:r>
    </w:p>
    <w:p>
      <w:pPr>
        <w:ind w:left="420"/>
      </w:pPr>
      <w:r>
        <w:t xml:space="preserve">11. Hauptsichtfeld: Hauptsichtfeld im Sinne des Artikels 2 Absatz 2 Buchstabe l der Verordnung (EU) Nr. 1169/2011;</w:t>
      </w:r>
    </w:p>
    <w:p>
      <w:pPr>
        <w:ind w:left="420"/>
      </w:pPr>
      <w:r>
        <w:t xml:space="preserve">12. Etikett: Etikett im Sinne des Artikels 2 Absatz 2 Buchstabe i der Verordnung (EU) Nr. 1169/2011;</w:t>
      </w:r>
    </w:p>
    <w:p>
      <w:pPr>
        <w:ind w:left="420"/>
      </w:pPr>
      <w:r>
        <w:t xml:space="preserve">13. Lesbarkeit: Lesbarkeit im Sinne des Artikels 2 Absatz 2 Buchstabe m der Verordnung (EU) Nr. 1169/2011.</w:t>
      </w:r>
    </w:p>
    <w:p>
      <w:r>
        <w:rPr>
          <w:color w:val="555555"/>
          <w:sz w:val="17"/>
        </w:rPr>
        <w:t xml:space="preserve">Zitiervorschlag: § 2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