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TierHaltKennzG — Kennzeichnung im Fernabsatz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Wird ein nach § 3 Absatz 1 kennzeichnungspflichtiges Lebensmittel durch den Einsatz von Fernkommunikationstechniken zur Abgabe an den Endverbraucher angeboten, so muss die Kennzeichnung zusätzlich</w:t>
      </w:r>
    </w:p>
    <w:p>
      <w:pPr>
        <w:ind w:left="420"/>
      </w:pPr>
      <w:r>
        <w:t xml:space="preserve">1. auf dem Trägermaterial des Fernabsatzgeschäfts erscheinen oder</w:t>
      </w:r>
    </w:p>
    <w:p>
      <w:pPr>
        <w:ind w:left="420"/>
      </w:pPr>
      <w:r>
        <w:t xml:space="preserve">2. so bereitgestellt werden, dass</w:t>
      </w:r>
    </w:p>
    <w:p>
      <w:pPr>
        <w:ind w:left="780"/>
      </w:pPr>
      <w:r>
        <w:t xml:space="preserve">a) sie leicht und dauerhaft zugänglich ist,</w:t>
      </w:r>
    </w:p>
    <w:p>
      <w:pPr>
        <w:ind w:left="780"/>
      </w:pPr>
      <w:r>
        <w:t xml:space="preserve">b) sie vollständig und übersichtlich ist,</w:t>
      </w:r>
    </w:p>
    <w:p>
      <w:pPr>
        <w:ind w:left="780"/>
      </w:pPr>
      <w:r>
        <w:t xml:space="preserve">c) dem Endverbraucher keine zusätzlichen Kosten auferlegt werden und</w:t>
      </w:r>
    </w:p>
    <w:p>
      <w:pPr>
        <w:ind w:left="780"/>
      </w:pPr>
      <w:r>
        <w:t xml:space="preserve">d) der Endverbraucher ausreichend Zeit hat, sämtliche in der Kennzeichnung enthaltenen Informationen zur Kenntnis nehmen zu können, um eine Kaufentscheidung treffen zu können.</w:t>
      </w:r>
    </w:p>
    <w:p>
      <w:r>
        <w:rPr>
          <w:color w:val="555555"/>
          <w:sz w:val="17"/>
        </w:rPr>
        <w:t xml:space="preserve">Zitiervorschlag: § 10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