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TierHKZuVO (Sachsen)</w:t>
      </w:r>
    </w:p>
    <w:p>
      <w:r>
        <w:rPr>
          <w:color w:val="555555"/>
          <w:sz w:val="18"/>
        </w:rPr>
        <w:t xml:space="preserve">Tierhaltungskennzeichnungs-Zuständigkeitsverordnung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16 Absatz 1 Satz 2 Nummer 1 des Sächsischen Verwaltungsorganisationsgesetzes vom 25. November 2003 (SächsGVBl. S. 899), das zuletzt durch Artikel 7 des Gesetzes vom 20. Dezember 2022 (SächsGVBl. S. 705) geändert worden ist, verordnet das Staatsministerium für Soziales, Gesundheit und Gesellschaftlichen Zusammenhalt:</w:t>
      </w:r>
    </w:p>
    <w:p>
      <w:r>
        <w:rPr>
          <w:color w:val="555555"/>
          <w:sz w:val="17"/>
        </w:rPr>
        <w:t xml:space="preserve">Zitiervorschlag: Eingangsformel TierHKZuVO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https://recht.nulegal.eu/gesetze/TierHKZuVO/eingangsformel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