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TierHKZuVO (Sachsen) — Inkrafttreten</w:t>
      </w:r>
    </w:p>
    <w:p>
      <w:r>
        <w:rPr>
          <w:color w:val="555555"/>
          <w:sz w:val="18"/>
        </w:rPr>
        <w:t xml:space="preserve">Tierhaltungskennzeichnungs-Zuständigkeitsverordnung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Dresden, den 5. Mai 2025</w:t>
      </w:r>
    </w:p>
    <w:p>
      <w:r>
        <w:t xml:space="preserve">Die Staatsministerin für Soziales, Gesundheit und Gesellschaftlichen Zusammenhalt</w:t>
      </w:r>
    </w:p>
    <w:p>
      <w:r>
        <w:t xml:space="preserve">Petra Köpping</w:t>
      </w:r>
    </w:p>
    <w:p>
      <w:r>
        <w:rPr>
          <w:color w:val="555555"/>
          <w:sz w:val="17"/>
        </w:rPr>
        <w:t xml:space="preserve">Zitiervorschlag: § 2 TierHKZuVO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https://recht.nulegal.eu/gesetze/TierHKZuVO/2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