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TierGesZustVO (Sachsen)</w:t>
      </w:r>
    </w:p>
    <w:p>
      <w:r>
        <w:rPr>
          <w:color w:val="555555"/>
          <w:sz w:val="18"/>
        </w:rPr>
        <w:t xml:space="preserve">Tiergesundheitszuständigkeitsverordnung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2 Absatz 1 des Sächsischen Ausführungsgesetzes zum Tiergesundheitsgesetz vom 9. Juli 2014 (SächsGVBl. S. 386) verordnet das Staatsministerium für Soziales und Verbraucherschutz:</w:t>
      </w:r>
    </w:p>
    <w:p>
      <w:r>
        <w:rPr>
          <w:color w:val="555555"/>
          <w:sz w:val="17"/>
        </w:rPr>
        <w:t xml:space="preserve">Zitiervorschlag: Eingangsformel TierGesZustVO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https://recht.nulegal.eu/gesetze/TierGesZustVO/eingangsformel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