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TierGesG — Übergangsvorschriften; Verordnungsermächtigung</w:t>
      </w:r>
    </w:p>
    <w:p>
      <w:r>
        <w:rPr>
          <w:color w:val="555555"/>
          <w:sz w:val="18"/>
        </w:rPr>
        <w:t xml:space="preserve">Tiergesundheitsgesetz</w:t>
      </w:r>
    </w:p>
    <w:p>
      <w:r>
        <w:rPr>
          <w:color w:val="555555"/>
          <w:sz w:val="18"/>
        </w:rPr>
        <w:t xml:space="preserve">Stand: 14.03.2026 (konsolidierte Textfassung, kein amtliches Inkrafttretensdatum)</w:t>
      </w:r>
    </w:p>
    <w:p>
      <w:r>
        <w:t xml:space="preserve">(1) Ausnahmegenehmigungen nach § 17c Absatz 4 des Tierseuchengesetzes in der Fassung der Bekanntmachung vom 22. Juni 2004 (BGBl. I S. 1260, 3588), das zuletzt durch Artikel 2 Absatz 87 des Gesetzes vom 22. Dezember 2011 (BGBl. I S. 3044) geändert worden ist, gelten bis zum Ablauf der jeweiligen Genehmigung fort.</w:t>
      </w:r>
    </w:p>
    <w:p>
      <w:r>
        <w:t xml:space="preserve">(2) Eine Erlaubnis für die Herstellung von Sera, Impfstoffen und Antigenen nach § 17d Absatz 1 Satz 1 des Tierseuchengesetzes in der Fassung der Bekanntmachung vom 22. Juni 2004 (BGBl. I S. 1260, 3588), das zuletzt durch Artikel 2 Absatz 87 des Gesetzes vom 22. Dezember 2011 (BGBl. I S. 3044) geändert worden ist, die bis zum 30. April 2014 erteilt worden ist, gilt im bisherigen Umfang als Erlaubnis im Sinne des § 12 Absatz 1 fort.</w:t>
      </w:r>
    </w:p>
    <w:p>
      <w:r>
        <w:t xml:space="preserve">(2a) Bis zum Inkrafttreten einer Rechtsverordnung nach § 4</w:t>
      </w:r>
    </w:p>
    <w:p>
      <w:pPr>
        <w:ind w:left="420"/>
      </w:pPr>
      <w:r>
        <w:t xml:space="preserve">1. findet § 4 in seiner bis zum Ablauf des 9. März 2026 geltenden Fassung weiter Anwendung mit der Maßgabe, dass an die Stelle des Tierhalters der Unternehmer und der Heimtierhalter treten,</w:t>
      </w:r>
    </w:p>
    <w:p>
      <w:pPr>
        <w:ind w:left="420"/>
      </w:pPr>
      <w:r>
        <w:t xml:space="preserve">2. gilt § 5 Absatz 1 Satz 1 mit der Maßgabe, dass an die Stelle der Meldung einer in einer Rechtsverordnung nach § 4 näher bestimmten meldepflichtigen Seuche die Anzeige einer Seuche tritt, die in der Verordnung über anzeigepflichtige Tierseuchen gelistet ist,</w:t>
      </w:r>
    </w:p>
    <w:p>
      <w:pPr>
        <w:ind w:left="420"/>
      </w:pPr>
      <w:r>
        <w:t xml:space="preserve">3. gelten § 5 Absatz 1 Satz 4, Absatz 2 und 3 Satz 4, § 15 Nummer 2 und § 27 Absatz 5 Satz 1 Nummer 1 jeweils mit der Maßgabe, dass an die Stelle einer in einer Rechtsverordnung nach § 4 näher bestimmten meldepflichtigen Seuche eine Seuche tritt, die in der Verordnung über anzeigepflichtige Tierseuchen gelistet ist,</w:t>
      </w:r>
    </w:p>
    <w:p>
      <w:pPr>
        <w:ind w:left="420"/>
      </w:pPr>
      <w:r>
        <w:t xml:space="preserve">4. gilt § 5 Absatz 1 Satz 5 mit der Maßgabe, dass an die Stelle der in § 5 Absatz 1 Satz 4 genannten meldepflichtigen Seuchen andere Seuchen treten, als die in der Verordnung über anzeigepflichtige Tierseuchen gelisteten,</w:t>
      </w:r>
    </w:p>
    <w:p>
      <w:pPr>
        <w:ind w:left="420"/>
      </w:pPr>
      <w:r>
        <w:t xml:space="preserve">5. gilt § 11 Absatz 2 Satz 1 mit der Maßgabe, dass an die Stelle der meldepflichtigen Seuchen jene Seuchen treten, die in der Verordnung über anzeigepflichtige Tierseuchen und der Verordnung über meldepflichtige Tierkrankheiten gelistet sind,</w:t>
      </w:r>
    </w:p>
    <w:p>
      <w:pPr>
        <w:ind w:left="420"/>
      </w:pPr>
      <w:r>
        <w:t xml:space="preserve">6. gelten § 16 Absatz 3 Nummer 1 und § 18 Absatz 1 Satz 1 Nummer 2 mit der Maßgabe, dass an die Stelle der in einer Rechtsverordnung nach § 4 vorgeschriebenen Meldung einer dort näher bestimmten meldepflichtigen Seuche die Anzeige nach § 4 in seiner bis zum Ablauf des 9. März 2026 geltenden Fassung in Verbindung mit Nummer 1 einer solchen Seuche tritt, die in der Verordnung über anzeigepflichtige Tierseuchen gelistet ist,</w:t>
      </w:r>
    </w:p>
    <w:p>
      <w:pPr>
        <w:ind w:left="420"/>
      </w:pPr>
      <w:r>
        <w:t xml:space="preserve">7. gilt § 41 Satz 1 mit der Maßgabe, dass an die Stelle der Seuchenerreger einer in einer Rechtsverordnung nach § 4 näher bestimmten meldepflichtigen Seuche der Seuchenerreger einer in der Verordnung über anzeigepflichtigen Tierseuchen gelisteten Tierseuche tritt.</w:t>
      </w:r>
    </w:p>
    <w:p>
      <w:r>
        <w:t xml:space="preserve">(3) § 11 Absatz 2 ist ab dem 1. Januar 2015 anzuwenden. Bis zu diesem Zeitpunkt sind die Vorschriften des § 17c des Tierseuchengesetzes in der bis zum Ablauf des 27. Mai 2013 geltenden Fassung über die Zulassung und Verwendung von Nachweismethoden anzuwenden.</w:t>
      </w:r>
    </w:p>
    <w:p>
      <w:r>
        <w:t xml:space="preserve">(3a) Der Entschädigungshöchstsatz nach § 16 Absatz 2 Satz 1 Nummer 7 ist zu Grunde zu legen, wenn der die Entschädigungspflicht begründende Umstand nach Ablauf des 30. September 2025 eingetreten ist.</w:t>
      </w:r>
    </w:p>
    <w:p>
      <w:r>
        <w:t xml:space="preserve">(4) Das Bundesministerium wird ermächtigt, durch Rechtsverordnung ohne Zustimmung des Bundesrates in Rechtsverordnungen, die auf Grund des Tierseuchengesetzes erlassen worden sind, die Anpassungen vorzunehmen, die erforderlich sind, um die jeweilige Rechtsverordnung an die Ablösung des ermächtigenden Gesetzes durch dieses Gesetzes anzupassen.</w:t>
      </w:r>
    </w:p>
    <w:p>
      <w:r>
        <w:rPr>
          <w:color w:val="555555"/>
          <w:sz w:val="17"/>
        </w:rPr>
        <w:t xml:space="preserve">Zitiervorschlag: § 43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