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TierGesG — Verordnungsermächtigung zur Meldung von Seuchen bei Tieren</w:t>
      </w:r>
    </w:p>
    <w:p>
      <w:r>
        <w:rPr>
          <w:color w:val="555555"/>
          <w:sz w:val="18"/>
        </w:rPr>
        <w:t xml:space="preserve">Tiergesundheitsgesetz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Das Bundesministerium wird ermächtigt, zur Erfüllung der Zwecke des § 1 durch Rechtsverordnung mit Zustimmung des Bundesrates Vorschriften über die Meldung von Seuchen bei Tieren und über die Mitteilung an das Bundesministerium zu erlassen. In einer Rechtsverordnung nach Satz 1 kann das Bundesministerium insbesondere</w:t>
      </w:r>
    </w:p>
    <w:p>
      <w:pPr>
        <w:ind w:left="420"/>
      </w:pPr>
      <w:r>
        <w:t xml:space="preserve">1. die meldepflichtigen Seuchen bestimmen,</w:t>
      </w:r>
    </w:p>
    <w:p>
      <w:pPr>
        <w:ind w:left="420"/>
      </w:pPr>
      <w:r>
        <w:t xml:space="preserve">2. Vorschriften erlassen über</w:t>
      </w:r>
    </w:p>
    <w:p>
      <w:pPr>
        <w:ind w:left="780"/>
      </w:pPr>
      <w:r>
        <w:t xml:space="preserve">a) das Meldeverfahren,</w:t>
      </w:r>
    </w:p>
    <w:p>
      <w:pPr>
        <w:ind w:left="780"/>
      </w:pPr>
      <w:r>
        <w:t xml:space="preserve">b) den Inhalt einer Meldung, insbesondere über Auftreten, Verlauf und Häufigkeit einer meldepflichtigen Seuche, über den Nachweis und über das Vorliegen von Gründen für den Verdacht einer solchen Seuche,</w:t>
      </w:r>
    </w:p>
    <w:p>
      <w:pPr>
        <w:ind w:left="780"/>
      </w:pPr>
      <w:r>
        <w:t xml:space="preserve">c) den Kreis der meldepflichtigen Personen,</w:t>
      </w:r>
    </w:p>
    <w:p>
      <w:pPr>
        <w:ind w:left="780"/>
      </w:pPr>
      <w:r>
        <w:t xml:space="preserve">d) die Mitteilung, insbesondere deren Inhalt, Form und Frist, der zuständigen Behörde an das Bundesministerium</w:t>
      </w:r>
    </w:p>
    <w:p>
      <w:pPr>
        <w:ind w:left="1140"/>
      </w:pPr>
      <w:r>
        <w:t xml:space="preserve">aa) zu einem als bestätigter Fall eingestuften Tier oder einer Gruppe von Tieren,</w:t>
      </w:r>
    </w:p>
    <w:p>
      <w:pPr>
        <w:ind w:left="1140"/>
      </w:pPr>
      <w:r>
        <w:t xml:space="preserve">bb) zu einem als Verdachtsfall eingestuften Tier oder einer Gruppe von Tieren,</w:t>
      </w:r>
    </w:p>
    <w:p>
      <w:pPr>
        <w:ind w:left="1140"/>
      </w:pPr>
      <w:r>
        <w:t xml:space="preserve">cc) zu einer bereits erfolgten Meldung einer meldepflichtigen Seuche und</w:t>
      </w:r>
    </w:p>
    <w:p>
      <w:pPr>
        <w:ind w:left="1140"/>
      </w:pPr>
      <w:r>
        <w:t xml:space="preserve">dd) zu der Einstellung von Seuchenbekämpfungsmaßnahmen sowie</w:t>
      </w:r>
    </w:p>
    <w:p>
      <w:pPr>
        <w:ind w:left="780"/>
      </w:pPr>
      <w:r>
        <w:t xml:space="preserve">e) die Mitteilung, insbesondere deren Inhalt, Form und Frist, von Änderungen bereits erfolgter Mitteilungen nach Buchstabe d durch die zuständige Behörde an das Bundesministerium.</w:t>
      </w:r>
    </w:p>
    <w:p>
      <w:r>
        <w:t xml:space="preserve">(2) In einer Rechtsverordnung nach Absatz 1 Satz 1 kann das Bundesministerium ferner bestimmen, welche meldepflichtigen Seuchen von den Vorschriften dieses Gesetzes, die auf eine Rechtsverordnung nach dieser Vorschrift verweisen, jeweils erfasst sind.</w:t>
      </w:r>
    </w:p>
    <w:p>
      <w:r>
        <w:rPr>
          <w:color w:val="555555"/>
          <w:sz w:val="17"/>
        </w:rPr>
        <w:t xml:space="preserve">Zitiervorschlag: § 4 TierGesG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https://recht.nulegal.eu/gesetze/TierGesG/4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