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TierGesG — Weitergehende Maßnahmen; Verordnungsermächtigungen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Das Bundesministerium wird ermächtigt, durch Rechtsverordnung mit Zustimmung des Bundesrates die Verbringung aus einem anderen Mitgliedstaat in das Inland, die Verbringung aus dem Inland in einen anderen Mitgliedstaat, den Eingang in die Union, die Ausfuhr und die Durchfuhr von lebenden oder toten Tieren, Teilen von Tieren oder von Erzeugnissen, Gegenständen oder Stoffen, die möglicherweise mit einem Seuchenerreger kontaminiert sind, zu verbieten oder zu beschränken, soweit dies zur Vorsorge für die Gesundheit von Mensch oder Tier oder zu deren Schutz erforderlich ist und Regelungen aufgrund anderer Vorschriften dieses Gesetzes oder aufgrund des Lebensmittel- und Futtermittelgesetzbuches nicht getroffen werden können. § 14 Absatz 1 Satz 2 und § 38 Absatz 2 und 4 gelten entsprechend.</w:t>
      </w:r>
    </w:p>
    <w:p>
      <w:r>
        <w:t xml:space="preserve">(2) Das Bundesministerium wird ferner ermächtigt, durch Rechtsverordnung mit Zustimmung des Bundesrates unter den Voraussetzungen des Absatzes 1 im Hinblick auf lebende und tote Tiere, Teile von Tieren oder im Hinblick auf Erzeugnisse, Gegenstände oder Stoffe, die möglicherweise mit einem Seuchenerreger kontaminiert sind, Vorschriften in entsprechender Anwendung</w:t>
      </w:r>
    </w:p>
    <w:p>
      <w:pPr>
        <w:ind w:left="420"/>
      </w:pPr>
      <w:r>
        <w:t xml:space="preserve">1. des § 6,</w:t>
      </w:r>
    </w:p>
    <w:p>
      <w:pPr>
        <w:ind w:left="420"/>
      </w:pPr>
      <w:r>
        <w:t xml:space="preserve">2. des § 7,</w:t>
      </w:r>
    </w:p>
    <w:p>
      <w:pPr>
        <w:ind w:left="420"/>
      </w:pPr>
      <w:r>
        <w:t xml:space="preserve">3. des § 8,</w:t>
      </w:r>
    </w:p>
    <w:p>
      <w:pPr>
        <w:ind w:left="420"/>
      </w:pPr>
      <w:r>
        <w:t xml:space="preserve">4. des § 9 oder</w:t>
      </w:r>
    </w:p>
    <w:p>
      <w:pPr>
        <w:ind w:left="420"/>
      </w:pPr>
      <w:r>
        <w:t xml:space="preserve">5. des § 26</w:t>
      </w:r>
    </w:p>
    <w:p>
      <w:r>
        <w:t xml:space="preserve">zu erlassen und hierbei insbesondere im Falle nicht im Inland vorkommender Seuchen die Tötung von Tieren vorzuschreiben; die §§ 37 und 38 Absatz 1, 2, 4, 10 und 11 gelten entsprechend.</w:t>
      </w:r>
    </w:p>
    <w:p>
      <w:r>
        <w:rPr>
          <w:color w:val="555555"/>
          <w:sz w:val="17"/>
        </w:rPr>
        <w:t xml:space="preserve">Zitiervorschlag: § 39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