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TierGesG — Rechtsverordnungen und Anordnungsbefugnisse in bestimmten Fällen; Verordnungsermächtigungen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Rechtsverordnungen nach diesem Gesetz kann das Bundesministerium auch zur Durchführung von Rechtsakten der Europäischen Gemeinschaft oder der Europäischen Union im Anwendungsbereich dieses Gesetzes erlassen.</w:t>
      </w:r>
    </w:p>
    <w:p>
      <w:r>
        <w:t xml:space="preserve">(2) Rechtsverordnungen nach diesem Gesetz, die der Zustimmung des Bundesrates bedürfen, können bei Gefahr im Verzuge oder, wenn ihr unverzügliches Inkrafttreten zur Durchführung von Rechtsakten der Europäischen Gemeinschaft oder der Europäischen Union erforderlich ist, ohne Zustimmung des Bundesrates erlassen werden.</w:t>
      </w:r>
    </w:p>
    <w:p>
      <w:r>
        <w:t xml:space="preserve">(3) Bei Gefahr im Verzuge und soweit dies nach gemeinschaftsrechtlichen Vorschriften zulässig ist, kann das Bundesministerium durch Rechtsverordnung ohne Zustimmung des Bundesrates zu den in § 1 Satz 1 genannten Zwecken die Anwendung eines unmittelbar geltenden Rechtsaktes der Europäischen Gemeinschaft oder der Europäischen Union aussetzen oder beschränken.</w:t>
      </w:r>
    </w:p>
    <w:p>
      <w:r>
        <w:t xml:space="preserve">(4) Rechtsverordnungen nach Absatz 2 oder 3 treten spätestens sechs Monate nach ihrem Inkrafttreten außer Kraft. Ihre Geltungsdauer kann nur mit Zustimmung des Bundesrates verlängert werden.</w:t>
      </w:r>
    </w:p>
    <w:p>
      <w:r>
        <w:t xml:space="preserve">(5) Rechtsverordnungen nach diesem Gesetz, die ausschließlich der Umsetzung verbindlicher technischer Vorschriften aus Richtlinien oder Entscheidungen der Organe der Europäischen Union dienen, können ohne Zustimmung des Bundesrates erlassen werden.</w:t>
      </w:r>
    </w:p>
    <w:p>
      <w:r>
        <w:t xml:space="preserve">(6) Das Bundesministerium wird ermächtigt, durch Rechtsverordnung ohne Zustimmung des Bundesrates Verweisungen auf Vorschriften in Rechtsakten der Europäischen Gemeinschaft oder der Europäischen Union in diesem Gesetz oder in auf Grund dieses Gesetzes erlassenen Rechtsverordnungen zu ändern, soweit es zur Anpassung an Änderungen dieser Vorschriften erforderlich ist.</w:t>
      </w:r>
    </w:p>
    <w:p>
      <w:r>
        <w:t xml:space="preserve">(7) Das Bundesministerium wird ermächtigt, durch Rechtsverordnung ohne Zustimmung des Bundesrates Vorschriften dieses Gesetzes oder der auf Grund dieses Gesetzes erlassenen Rechtsverordnungen zu streichen oder in ihrem Wortlaut einem verbleibenden Anwendungsbereich anzupassen, soweit sie durch den Erlass entsprechender Vorschriften in unmittelbar geltenden Rechtsakten der Europäischen Gemeinschaft oder der Europäischen Union im Anwendungsbereich dieses Gesetzes unanwendbar geworden sind.</w:t>
      </w:r>
    </w:p>
    <w:p>
      <w:r>
        <w:t xml:space="preserve">(8) In den Rechtsverordnungen auf Grund dieses Gesetzes kann die jeweilige Ermächtigung ganz oder teilweise auf die Landesregierungen übertragen werden. Soweit eine nach Satz 1 erlassene Rechtsverordnung die Landesregierungen zum Erlass von Rechtsverordnungen ermächtigt, sind diese befugt, die Ermächtigung durch Rechtsverordnung ganz oder teilweise auf andere Behörden zu übertragen.</w:t>
      </w:r>
    </w:p>
    <w:p>
      <w:r>
        <w:t xml:space="preserve">(9) Die Landesregierungen können Rechtsverordnungen nach § 6 Absatz 1 und 2, den §§ 9, 10 Absatz 2 und § 26 Absatz 1 bis 3 erlassen, soweit das Bundesministerium von seiner Befugnis keinen Gebrauch macht; sie können ihre Befugnis durch Rechtsverordnung auf andere Behörden übertragen.</w:t>
      </w:r>
    </w:p>
    <w:p>
      <w:r>
        <w:t xml:space="preserve">(10) Bei Gefahr im Verzuge können die Landesregierungen durch Rechtsverordnung im Rahmen der Ermächtigungen des § 6 Absatz 1, der §§ 9 und 26 Absatz 1 bis 3 Vorschriften erlassen, die über die nach diesen Bestimmungen vom Bundesministerium erlassenen Vorschriften hinausgehen, soweit ein sofortiges Eingreifen zum Schutz der Tierbestände vor Seuchen erforderlich ist; die Rechtsverordnung ist nach Beendigung der Gefahr aufzuheben. Die Landesregierungen können durch Rechtsverordnung diese Befugnis auf oberste Landesbehörden übertragen.</w:t>
      </w:r>
    </w:p>
    <w:p>
      <w:r>
        <w:t xml:space="preserve">(11) Die zuständige Behörde kann zur Vorbeugung vor Seuchen und deren Bekämpfung eine Verfügung nach Maßgabe der §§ 6, 9, 10 und 26 Absatz 1 bis 3 erlassen, soweit durch Rechtsverordnung eine Regelung nicht getroffen worden ist oder eine durch Rechtsverordnung getroffene Regelung nicht entgegensteht.</w:t>
      </w:r>
    </w:p>
    <w:p>
      <w:r>
        <w:t xml:space="preserve">(12) Das Bundesministerium wird ermächtigt, durch Rechtsverordnung ohne Zustimmung des Bundesrates folgende Vorschriften aufzuheben:</w:t>
      </w:r>
    </w:p>
    <w:p>
      <w:pPr>
        <w:ind w:left="420"/>
      </w:pPr>
      <w:r>
        <w:t xml:space="preserve">1. Vorschriften, die auf eine Ermächtigung dieses Gesetzes zum Erlass von Rechtsverordnungen des Bundes gestützt sind, soweit diese Ermächtigung durch eine Änderung dieses Gesetzes weggefallen ist,</w:t>
      </w:r>
    </w:p>
    <w:p>
      <w:pPr>
        <w:ind w:left="420"/>
      </w:pPr>
      <w:r>
        <w:t xml:space="preserve">2. Vorschriften, die auf eine Ermächtigung des Tierseuchengesetzes oder des Viehseuchengesetzes zum Erlass von Rechtsverordnungen des Bundes gestützt sind.</w:t>
      </w:r>
    </w:p>
    <w:p>
      <w:r>
        <w:t xml:space="preserve">(13) Die Landesregierungen werden ermächtigt, durch Rechtsverordnung folgende Vorschriften aufzuheben:</w:t>
      </w:r>
    </w:p>
    <w:p>
      <w:pPr>
        <w:ind w:left="420"/>
      </w:pPr>
      <w:r>
        <w:t xml:space="preserve">1. Vorschriften, zu deren Erlass die Landesregierungen durch dieses Gesetz oder aufgrund dieses Gesetzes ermächtigt sind, soweit die betreffende Ermächtigung durch eine Änderung dieses Gesetzes oder einer aufgrund dieses Gesetzes erlassenen Rechtsverordnung weggefallen ist,</w:t>
      </w:r>
    </w:p>
    <w:p>
      <w:pPr>
        <w:ind w:left="420"/>
      </w:pPr>
      <w:r>
        <w:t xml:space="preserve">2. Vorschriften, die auf eine Ermächtigung des Tierseuchengesetzes oder des Viehseuchengesetzes zum Erlass von Rechtsverordnungen der Landesregierungen gestützt sind.</w:t>
      </w:r>
    </w:p>
    <w:p>
      <w:r>
        <w:rPr>
          <w:color w:val="555555"/>
          <w:sz w:val="17"/>
        </w:rPr>
        <w:t xml:space="preserve">Zitiervorschlag: § 38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