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 TierGesG — Einziehung</w:t>
      </w:r>
    </w:p>
    <w:p>
      <w:r>
        <w:rPr>
          <w:color w:val="555555"/>
          <w:sz w:val="18"/>
        </w:rPr>
        <w:t xml:space="preserve">Tiergesundheitsgesetz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Gegenstände, auf die sich eine Straftat nach § 31 oder eine Ordnungswidrigkeit nach § 32 Absatz 2 Nummer 4 Buchstabe d bezieht, können eingezogen werden.</w:t>
      </w:r>
    </w:p>
    <w:p>
      <w:r>
        <w:rPr>
          <w:color w:val="555555"/>
          <w:sz w:val="17"/>
        </w:rPr>
        <w:t xml:space="preserve">Zitiervorschlag: § 33 TierGesG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https://recht.nulegal.eu/gesetze/TierGesG/33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