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TierGesG — Anzeichen schwerer Krankheit oder verminderte Produktionsleistung; Verordnungsermächtigung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Stellt ein Unternehmer eine anormale Mortalität, andere Anzeichen einer schweren Krankheit oder eine ohne ersichtlichen Grund deutlich verminderte Produktionsleistung bei einem oder mehreren Tieren, für das oder die er verantwortlich ist, fest, oder erlangt er Kenntnis über eine solche Feststellung, so hat er unverzüglich einen Tierarzt zu informieren, damit eingehendere Untersuchungen angestellt werden können.</w:t>
      </w:r>
    </w:p>
    <w:p>
      <w:r>
        <w:t xml:space="preserve">(2) Stellt ein Angehöriger der mit Tieren befassten Berufe in Ausübung seines Berufes bei einem Tier oder mehreren Tieren eine anormale Mortalität, andere Anzeichen einer schweren Krankheit oder eine ohne ersichtlichen Grund deutlich verminderte Produktionsleistung fest, so hat er unverzüglich den für das Tier oder die Tiere verantwortlichen Unternehmer darüber zu informieren.</w:t>
      </w:r>
    </w:p>
    <w:p>
      <w:r>
        <w:t xml:space="preserve">(3) Das Bundesministerium für Landwirtschaft, Ernährung und Heimat (Bundesministerium) wird ermächtigt, durch Rechtsverordnung mit Zustimmung des Bundesrates, soweit es zur Erfüllung der Zwecke des § 1 erforderlich ist,</w:t>
      </w:r>
    </w:p>
    <w:p>
      <w:pPr>
        <w:ind w:left="420"/>
      </w:pPr>
      <w:r>
        <w:t xml:space="preserve">1. das Verfahren der Information nach den Absätzen 1 und 2, insbesondere die Form und die zu übermittelnden Angaben, zu regeln,</w:t>
      </w:r>
    </w:p>
    <w:p>
      <w:pPr>
        <w:ind w:left="420"/>
      </w:pPr>
      <w:r>
        <w:t xml:space="preserve">2. den Kreis der nach Absatz 1 verpflichteten Personen zu erweitern und</w:t>
      </w:r>
    </w:p>
    <w:p>
      <w:pPr>
        <w:ind w:left="420"/>
      </w:pPr>
      <w:r>
        <w:t xml:space="preserve">3. Kriterien für das Vorliegen einer anormalen Mortalität, anderer Anzeichen einer schweren Krankheit oder einer deutlich verminderten Produktionsleistung im Sinne der Absätze 1 und 2 festzulegen.</w:t>
      </w:r>
    </w:p>
    <w:p>
      <w:r>
        <w:rPr>
          <w:color w:val="555555"/>
          <w:sz w:val="17"/>
        </w:rPr>
        <w:t xml:space="preserve">Zitiervorschlag: § 3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