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TierGesG — Datenverarbeitung</w:t>
      </w:r>
    </w:p>
    <w:p>
      <w:r>
        <w:rPr>
          <w:color w:val="555555"/>
          <w:sz w:val="18"/>
        </w:rPr>
        <w:t xml:space="preserve">Tiergesundheitsgesetz</w:t>
      </w:r>
    </w:p>
    <w:p>
      <w:r>
        <w:rPr>
          <w:color w:val="555555"/>
          <w:sz w:val="18"/>
        </w:rPr>
        <w:t xml:space="preserve">Stand: 14.03.2026 (konsolidierte Textfassung, kein amtliches Inkrafttretensdatum)</w:t>
      </w:r>
    </w:p>
    <w:p>
      <w:r>
        <w:t xml:space="preserve">(1) Einrichtungen, die tierseuchenrechtlich vorgeschriebene Untersuchungen durchführen, übermitteln im Falle einer Untersuchung der zuständigen Behörde zu den in Absatz 3 bezeichneten Zwecken die Angaben über</w:t>
      </w:r>
    </w:p>
    <w:p>
      <w:pPr>
        <w:ind w:left="420"/>
      </w:pPr>
      <w:r>
        <w:t xml:space="preserve">1. die untersuchten Tiere, getrennt nach Tierarten, insbesondere Rinder, Schweine, Schafe, Ziegen und Einhufer, sowie die jeweilige Kennzeichnung der untersuchten Tiere, soweit diese Angaben bekannt sind,</w:t>
      </w:r>
    </w:p>
    <w:p>
      <w:pPr>
        <w:ind w:left="420"/>
      </w:pPr>
      <w:r>
        <w:t xml:space="preserve">2. die Seuche, die Anlass für die Untersuchung war,</w:t>
      </w:r>
    </w:p>
    <w:p>
      <w:pPr>
        <w:ind w:left="420"/>
      </w:pPr>
      <w:r>
        <w:t xml:space="preserve">3. das Datum der Untersuchung,</w:t>
      </w:r>
    </w:p>
    <w:p>
      <w:pPr>
        <w:ind w:left="420"/>
      </w:pPr>
      <w:r>
        <w:t xml:space="preserve">4. das Ergebnis der Untersuchung einschließlich der Untersuchungsmethode.</w:t>
      </w:r>
    </w:p>
    <w:p>
      <w:r>
        <w:t xml:space="preserve">Die in Satz 1 genannten Einrichtungen übermitteln ferner zu den in Absatz 3 Nummer 1 und 2 bezeichneten Zwecken Name und Anschrift des Unternehmers sowie die Registriernummer des Betriebes oder der Tierhaltung, in dem oder in der die untersuchten Tiere gehalten werden, soweit diese Angaben bekannt sind. Im Falle der Übermittlung nach Satz 1 teilt die Untersuchungseinrichtung dem jeweiligen Unternehmer oder, soweit dieser nicht bekannt ist, dem Auftraggeber der Untersuchung die übermittelten Angaben spätestens am Tage der Übermittlung mit. Soweit tierseuchenrechtlich vorgeschriebene Untersuchungen nicht in einer im Inland gelegenen Einrichtung durchgeführt werden, hat der Unternehmer die in Satz 1 genannten Angaben sowie die Registriernummer des Betriebes oder der Tierhaltung, in dem oder in der die untersuchten Tiere gehalten werden, der zuständigen Behörde zu übermitteln. Die Übermittlung der Angaben nach Satz 1, 2 oder 4 oder die Mitteilung nach Satz 3 kann im automatisierten Verfahren erfolgen, im Falle der Mitteilung nach Satz 3, soweit der Unternehmer oder der Auftraggeber diesem Verfahren zugestimmt hat.</w:t>
      </w:r>
    </w:p>
    <w:p>
      <w:r>
        <w:t xml:space="preserve">(2) Der Unternehmer übermittelt der zuständigen Behörde zu den in Absatz 3 genannten Zwecken Name und Anschrift sowie die geographischen Koordinaten des Standortes seiner Tierhaltung, soweit diese Angaben nicht bereits nach anderen Vorschriften zum Schutz vor Seuchen angezeigt worden sind. Die Übermittlung der Angaben nach Satz 1 kann im automatisierten Verfahren erfolgen.</w:t>
      </w:r>
    </w:p>
    <w:p>
      <w:r>
        <w:t xml:space="preserve">(3) Die nach den Absätzen 1 und 2 zu übermittelnden Angaben dienen</w:t>
      </w:r>
    </w:p>
    <w:p>
      <w:pPr>
        <w:ind w:left="420"/>
      </w:pPr>
      <w:r>
        <w:t xml:space="preserve">1. dem Nachweis, dass gehaltene Tiere in einem bestimmten Gebiet frei von bestimmten Seuchen sind,</w:t>
      </w:r>
    </w:p>
    <w:p>
      <w:pPr>
        <w:ind w:left="420"/>
      </w:pPr>
      <w:r>
        <w:t xml:space="preserve">2. als Grundlage</w:t>
      </w:r>
    </w:p>
    <w:p>
      <w:pPr>
        <w:ind w:left="780"/>
      </w:pPr>
      <w:r>
        <w:t xml:space="preserve">a) der Feststellung des Gesundheitsstatus oder</w:t>
      </w:r>
    </w:p>
    <w:p>
      <w:pPr>
        <w:ind w:left="780"/>
      </w:pPr>
      <w:r>
        <w:t xml:space="preserve">b) für die Aufrechterhaltung eines bestehenden Gesundheitsstatus,</w:t>
      </w:r>
    </w:p>
    <w:p>
      <w:pPr>
        <w:ind w:left="420"/>
      </w:pPr>
      <w:r>
        <w:t xml:space="preserve">der untersuchten gehaltenen Tiere,</w:t>
      </w:r>
    </w:p>
    <w:p>
      <w:pPr>
        <w:ind w:left="420"/>
      </w:pPr>
      <w:r>
        <w:t xml:space="preserve">3. als Grundlage für die Berichterstattung über den Gesundheitsstatus von gehaltenen Tieren gegenüber den Organen oder Einrichtungen der Europäischen Union.</w:t>
      </w:r>
    </w:p>
    <w:p>
      <w:r>
        <w:t xml:space="preserve">(4) Die zuständige Behörde kann die nach den Absätzen 1 und 2 übermittelten Angaben im Rahmen ihrer Aufgabenwahrnehmung zu den in Absatz 3 genannten Zwecken verwenden. Die zuständige Behörde übermittelt auf Ersuchen die Angaben nach den Absätzen 1 und 2 an andere zuständige Behörden, soweit diese die Daten im Rahmen ihrer Aufgabenerfüllung zu den in Absatz 3 genannten Zwecken benötigen. Satz 1 gilt für diese Behörden entsprechend. Die Übermittlung der Angaben nach Satz 1 kann durch Abruf im automatisierten Verfahren erfolgen.</w:t>
      </w:r>
    </w:p>
    <w:p>
      <w:r>
        <w:t xml:space="preserve">(5) Die zuständige Behörde</w:t>
      </w:r>
    </w:p>
    <w:p>
      <w:pPr>
        <w:ind w:left="420"/>
      </w:pPr>
      <w:r>
        <w:t xml:space="preserve">1. übermittelt dem Friedrich-Loeffler-Institut auf Ersuchen die Angaben nach Absatz 1 sowie die vom Unternehmer nach Absatz 2 übermittelten geographischen Koordinaten des Standortes seiner Tierhaltung, soweit dies</w:t>
      </w:r>
    </w:p>
    <w:p>
      <w:pPr>
        <w:ind w:left="780"/>
      </w:pPr>
      <w:r>
        <w:t xml:space="preserve">a) zur Erstellung von Risikobewertungen nach § 27 Absatz 2 Satz 1 Nummer 2 erforderlich ist oder</w:t>
      </w:r>
    </w:p>
    <w:p>
      <w:pPr>
        <w:ind w:left="780"/>
      </w:pPr>
      <w:r>
        <w:t xml:space="preserve">b) zur Mitwirkung nach § 27 Absatz 3 Satz 1 Nummer 3 erforderlich ist,</w:t>
      </w:r>
    </w:p>
    <w:p>
      <w:pPr>
        <w:ind w:left="420"/>
      </w:pPr>
      <w:r>
        <w:t xml:space="preserve">2. soll dem Friedrich-Loeffler-Institut auf Ersuchen die in Nummer 1 genannten Angaben übermitteln, soweit dies zur Durchführung wissenschaftlicher Forschung auf dem Gebiet der Tiergesundheit erforderlich ist, das wissenschaftliche Interesse an der Durchführung von Forschungsvorhaben das Interesse des Betroffenen an dem Ausschluss der Zweckänderung erheblich überwiegt und der Zweck der Forschung auf andere Weise nicht oder nur mit unverhältnismäßigem Aufwand erreicht werden kann.</w:t>
      </w:r>
    </w:p>
    <w:p>
      <w:r>
        <w:t xml:space="preserve">Zusätzlich zu den Angaben nach Satz 1 übermittelt die zuständige Behörde dem Friedrich-Loeffler-Institut auf Ersuchen Angaben über das Verbringen von Tieren, und, soweit vorhanden, über das Verbringen von Erzeugnissen, Gegenständen oder Stoffen, die möglicherweise mit einem Seuchenerreger kontaminiert sind, sowie über Betriebe, die nach den Vorschriften des Tierische Nebenprodukte-Beseitigungsrechtes, des Futtermittelrechtes oder des Lebensmittelhygienerechtes zugelassen sind, soweit dies</w:t>
      </w:r>
    </w:p>
    <w:p>
      <w:pPr>
        <w:ind w:left="420"/>
      </w:pPr>
      <w:r>
        <w:t xml:space="preserve">1. zur Erstellung von Risikobewertungen nach § 27 Absatz 2 Satz 1 Nummer 2 erforderlich ist oder</w:t>
      </w:r>
    </w:p>
    <w:p>
      <w:pPr>
        <w:ind w:left="420"/>
      </w:pPr>
      <w:r>
        <w:t xml:space="preserve">2. zur Mitwirkung nach § 27 Absatz 3 Satz 1 Nummer 3 erforderlich ist.</w:t>
      </w:r>
    </w:p>
    <w:p>
      <w:r>
        <w:t xml:space="preserve">Die Übermittlung der Angaben nach Satz 1 oder 2 kann auch im automatisierten Verfahren erfolgen. Für die Zulässigkeit der Verwendung der Daten durch das Friedrich-Loeffler-Institut gelten die Sätze 1 und 2 entsprechend. Im Falle des Satzes 1 Nummer 2 dürfen die Daten nur in anonymisierter Form übermittelt werden.</w:t>
      </w:r>
    </w:p>
    <w:p>
      <w:r>
        <w:t xml:space="preserve">(6) Ein Unternehmer kann schriftliche Auskunft über die nach den Absätzen 1 und 2 übermittelten Angaben verlangen. Er kann die Angaben nach Satz 1 im automatisierten Verfahren abrufen, soweit ein solches eingerichtet worden ist. Die schriftlich erteilte unentgeltliche Auskunft nach Satz 1 oder der schriftliche unentgeltliche Auszug der Angabe nach Satz 2 aus einem solchen Auskunftsverlangen steht einer tierärztlichen Bescheinigung in den Fällen gleich, in denen diese</w:t>
      </w:r>
    </w:p>
    <w:p>
      <w:pPr>
        <w:ind w:left="420"/>
      </w:pPr>
      <w:r>
        <w:t xml:space="preserve">1. durch dieses Gesetz oder auf Grund dieses Gesetzes erlassener Rechtsverordnungen vorgeschrieben ist und</w:t>
      </w:r>
    </w:p>
    <w:p>
      <w:pPr>
        <w:ind w:left="420"/>
      </w:pPr>
      <w:r>
        <w:t xml:space="preserve">2. nicht auf Gemeinschaftsrecht oder Unionsrecht beruht oder Gemeinschaftsrecht oder Unionsrecht nicht entgegensteht.</w:t>
      </w:r>
    </w:p>
    <w:p>
      <w:r>
        <w:t xml:space="preserve">Der schriftliche Auszug nach Satz 2 hat Name und Anschrift des Unternehmers sowie das Datum desjenigen Tages zu enthalten, an dem der schriftliche Auszug gefertigt wurde. Diese Angaben können auch handschriftlich hinzugefügt werden. Der schriftliche Auszug ist vom Unternehmer zu unterschreiben.</w:t>
      </w:r>
    </w:p>
    <w:p>
      <w:r>
        <w:t xml:space="preserve">(7) Die in Absatz 1 bezeichneten oder nach Absatz 4 Satz 2 oder Absatz 5 Satz 1 Nummer 1 übermittelten Angaben sind von den dort jeweils genannten Behörden für die Dauer von fünf Jahren aufzubewahren. Die Frist beginnt mit Ablauf des 31. Dezember desjenigen Jahres, in dem die Daten erhoben worden sind. Nach Ablauf der Aufbewahrungsfrist sind die Daten unverzüglich zu löschen, soweit sie zur Erfüllung der Aufgaben nach Absatz 3 nicht mehr benötigt werden, spätestens aber unverzüglich nach Erfüllung der Aufgaben. Andere Vorschriften, nach denen eine längere Aufbewahrungsfrist besteht, bleiben unberührt. Satz 3 gilt für nach Absatz 5 Satz 1 übermittelte Angaben für das Friedrich-Loeffler-Institut mit der Maßgabe entsprechend, dass diese Angaben zur Erfüllung der dort genannten Aufgaben nicht mehr benötigt werden.</w:t>
      </w:r>
    </w:p>
    <w:p>
      <w:r>
        <w:rPr>
          <w:color w:val="555555"/>
          <w:sz w:val="17"/>
        </w:rPr>
        <w:t xml:space="preserve">Zitiervorschlag: § 23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