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TierGesG — Ergänzende Bestimmungen</w:t>
      </w:r>
    </w:p>
    <w:p>
      <w:r>
        <w:rPr>
          <w:color w:val="555555"/>
          <w:sz w:val="18"/>
        </w:rPr>
        <w:t xml:space="preserve">Tiergesundheitsgesetz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Soweit ein unmittelbar geltender Rechtsakt der Europäischen Gemeinschaft oder der Europäischen Union im Anwendungsbereich dieses Gesetzes nicht entgegensteht oder seine Durchführung es erfordert, gelten die Absätze 3 bis 5 und die §§ 15 bis 21 hinsichtlich der Entschädigungen für Tierverluste auf Grund einer Vorschrift eines solchen Rechtsaktes entsprechend.</w:t>
      </w:r>
    </w:p>
    <w:p>
      <w:r>
        <w:t xml:space="preserve">(2) In den Fällen des § 16 Absatz 4 Satz 2 gelten Absatz 1 und die §§ 19 bis 21 entsprechend.</w:t>
      </w:r>
    </w:p>
    <w:p>
      <w:r>
        <w:t xml:space="preserve">(3) Weitergehende Regelungen der Länder bleiben unberührt.</w:t>
      </w:r>
    </w:p>
    <w:p>
      <w:r>
        <w:t xml:space="preserve">(4) Für Streitigkeiten über Ansprüche nach diesem Abschnitt ist der Rechtsweg vor den Verwaltungsgerichten gegeben.</w:t>
      </w:r>
    </w:p>
    <w:p>
      <w:r>
        <w:t xml:space="preserve">(5) Ansprüche nach den §§ 15 und 16 Absatz 4 Satz 2 verjähren nach einem Jahr. Die Verjährungsfrist beginnt mit dem Ende des Jahres, in dem der Anspruch entstanden ist.</w:t>
      </w:r>
    </w:p>
    <w:p>
      <w:r>
        <w:rPr>
          <w:color w:val="555555"/>
          <w:sz w:val="17"/>
        </w:rPr>
        <w:t xml:space="preserve">Zitiervorschlag: § 22 TierGesG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https://recht.nulegal.eu/gesetze/TierGesG/22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