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TierGesG — Teilweise Entschädigung</w:t>
      </w:r>
    </w:p>
    <w:p>
      <w:r>
        <w:rPr>
          <w:color w:val="555555"/>
          <w:sz w:val="18"/>
        </w:rPr>
        <w:t xml:space="preserve">Tiergesundheitsgesetz</w:t>
      </w:r>
    </w:p>
    <w:p>
      <w:r>
        <w:rPr>
          <w:color w:val="555555"/>
          <w:sz w:val="18"/>
        </w:rPr>
        <w:t xml:space="preserve">Stand: 14.03.2026 (konsolidierte Textfassung, kein amtliches Inkrafttretensdatum)</w:t>
      </w:r>
    </w:p>
    <w:p>
      <w:r>
        <w:t xml:space="preserve">Die Entschädigung kann in den Fällen des § 18 Absatz 1 Satz 1 und Absatz 3 teilweise gewährt werden, wenn die Schuld gering ist oder die Versagung der Entschädigung für den Unternehmer eine unbillige Härte bedeuten würde.</w:t>
      </w:r>
    </w:p>
    <w:p>
      <w:r>
        <w:rPr>
          <w:color w:val="555555"/>
          <w:sz w:val="17"/>
        </w:rPr>
        <w:t xml:space="preserve">Zitiervorschlag: § 19 TierGesG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https://recht.nulegal.eu/gesetze/TierGesG/19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