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TierGesG — Anwendungsbereich</w:t>
      </w:r>
    </w:p>
    <w:p>
      <w:r>
        <w:rPr>
          <w:color w:val="555555"/>
          <w:sz w:val="18"/>
        </w:rPr>
        <w:t xml:space="preserve">Tiergesundheitsgesetz</w:t>
      </w:r>
    </w:p>
    <w:p>
      <w:r>
        <w:rPr>
          <w:color w:val="555555"/>
          <w:sz w:val="18"/>
        </w:rPr>
        <w:t xml:space="preserve">Stand: 14.03.2026 (konsolidierte Textfassung, kein amtliches Inkrafttretensdatum)</w:t>
      </w:r>
    </w:p>
    <w:p>
      <w:r>
        <w:t xml:space="preserve">Dieses Gesetz regelt die Vorbeugung vor Seuchen bei Tieren und deren Bekämpfung. In diesem Rahmen dient es auch der Erhaltung und Förderung der Gesundheit von gehaltenen Tieren, soweit diese der landwirtschaftlichen Erzeugung dienen. § 39 bleibt unberührt.</w:t>
      </w:r>
    </w:p>
    <w:p>
      <w:r>
        <w:rPr>
          <w:color w:val="555555"/>
          <w:sz w:val="17"/>
        </w:rPr>
        <w:t xml:space="preserve">Zitiervorschlag: § 1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