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TierGesBußG — Durchsetzung bestimmter Vorschriften der Verordnung (EU) Nr. 576/2013</w:t>
      </w:r>
    </w:p>
    <w:p>
      <w:r>
        <w:rPr>
          <w:color w:val="555555"/>
          <w:sz w:val="18"/>
        </w:rPr>
        <w:t xml:space="preserve">Tiergesundheitsrechtliches Bußgeldgesetz</w:t>
      </w:r>
    </w:p>
    <w:p>
      <w:r>
        <w:rPr>
          <w:color w:val="555555"/>
          <w:sz w:val="18"/>
        </w:rPr>
        <w:t xml:space="preserve">Stand: 13.12.2024 (konsolidierte Textfassung, kein amtliches Inkrafttretensdatum)</w:t>
      </w:r>
    </w:p>
    <w:p>
      <w:r>
        <w:t xml:space="preserve">(1) Ordnungswidrig handelt, wer gegen die Verordnung (EU) Nr. 576/2013 in Verbindung mit Artikel 277 der Verordnung (EU) 2016/429 verstößt, indem 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Artikel 6 Buchstabe a, b oder d oder Artikel 10 Absatz 1 Buchstabe a, b, c oder e oder</w:t>
      </w:r>
    </w:p>
    <w:p>
      <w:pPr>
        <w:ind w:left="780"/>
      </w:pPr>
      <w:r>
        <w:t xml:space="preserve">b) Artikel 10 Absatz 2 in Verbindung mit Artikel 34 Absatz 3 in Verbindung mit einer Rechtsverordnung nach Absatz 2 in Verbindung mit Artikel 13 Absatz 1 in Verbindung mit Anhang II Teil 1 der Durchführungsverordnung (EU) Nr. 577/2013</w:t>
      </w:r>
    </w:p>
    <w:p>
      <w:pPr>
        <w:ind w:left="420"/>
      </w:pPr>
      <w:r>
        <w:t xml:space="preserve">ein Heimtier verbringt,</w:t>
      </w:r>
    </w:p>
    <w:p>
      <w:pPr>
        <w:ind w:left="420"/>
      </w:pPr>
      <w:r>
        <w:t xml:space="preserve">2. entgegen Artikel 22 Absatz 1 einen dort genannten Ausweis nicht richtig oder nicht vollständig ausstellt,</w:t>
      </w:r>
    </w:p>
    <w:p>
      <w:pPr>
        <w:ind w:left="420"/>
      </w:pPr>
      <w:r>
        <w:t xml:space="preserve">3. entgegen Artikel 22 Absatz 3 eine Angabe nicht oder nicht für die vorgeschriebene Dauer aufbewahrt,</w:t>
      </w:r>
    </w:p>
    <w:p>
      <w:pPr>
        <w:ind w:left="420"/>
      </w:pPr>
      <w:r>
        <w:t xml:space="preserve">4. entgegen Artikel 34 Absatz 2 Buchstabe a in Verbindung mit Artikel 13 Absatz 1 in Verbindung mit Anhang II Teil 1 der Durchführungsverordnung (EU) Nr. 577/2013 einen Ausweis nicht oder nicht rechtzeitig vorlegt oder</w:t>
      </w:r>
    </w:p>
    <w:p>
      <w:pPr>
        <w:ind w:left="420"/>
      </w:pPr>
      <w:r>
        <w:t xml:space="preserve">5. entgegen Artikel 34 Absatz 2 Buchstabe b in Verbindung mit Artikel 13 Absatz 1 in Verbindung mit Anhang II Teil 1 der Durchführungsverordnung (EU) Nr. 577/2013 ein Heimtier für eine Kontrolle nicht zur Verfügung stellt.</w:t>
      </w:r>
    </w:p>
    <w:p>
      <w:r>
        <w:t xml:space="preserve">(2) Das Bundesministerium für Ernährung und Landwirtschaft wird ermächtigt, für die Zwecke des Absatzes 1 Nummer 1 Buchstabe b durch Rechtsverordnung ohne Zustimmung des Bundesrates die ihm von den Ländern mitgeteilten Einreiseorte nach Artikel 34 Absatz 3 der Verordnung (EU) Nr. 576/2013 festzulegen. Das Bundesministerium für Ernährung und Landwirtschaft wird ferner ermächtigt, durch Rechtsverordnung ohne Zustimmung des Bundesrates seine Befugnis nach Satz 1 ganz oder teilweise auf das Bundesamt für Verbraucherschutz und Lebensmittelsicherheit zu übertragen.</w:t>
      </w:r>
    </w:p>
    <w:p>
      <w:r>
        <w:rPr>
          <w:color w:val="555555"/>
          <w:sz w:val="17"/>
        </w:rPr>
        <w:t xml:space="preserve">Zitiervorschlag: § 2 TierGesBußG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https://recht.nulegal.eu/gesetze/TierGesBu%C3%9FG/2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TierGesBußG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