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TierBeitrBefrVO (Sachsen)</w:t>
      </w:r>
    </w:p>
    <w:p>
      <w:r>
        <w:rPr>
          <w:color w:val="555555"/>
          <w:sz w:val="18"/>
        </w:rPr>
        <w:t xml:space="preserve">Tierbeitragsbefreiungsverordnung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23 Absatz 3 Nummer 1 des Sächsischen Ausführungsgesetzes zum Tiergesundheitsgesetz vom 9. Juli 2014 (SächsGVBl. S. 386) verordnet das Staatsministerium für Soziales und Verbraucherschutz:</w:t>
      </w:r>
    </w:p>
    <w:p>
      <w:r>
        <w:rPr>
          <w:color w:val="555555"/>
          <w:sz w:val="17"/>
        </w:rPr>
        <w:t xml:space="preserve">Zitiervorschlag: Eingangsformel TierBeitrBefrVO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https://recht.nulegal.eu/gesetze/TierBeitrBefrVO/eingangsformel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