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TierBeitrBefrVO (Sachsen) — Inkrafttreten, Außerkrafttreten</w:t>
      </w:r>
    </w:p>
    <w:p>
      <w:r>
        <w:rPr>
          <w:color w:val="555555"/>
          <w:sz w:val="18"/>
        </w:rPr>
        <w:t xml:space="preserve">Tierbeitragsbefreiungsverordnung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Verordnung des Sächsischen Staatsministeriums für Soziales über die Erweiterung der Beitragspflicht zur Tierseuchenkasse vom 29. Januar 2004 (SächsGVBl. S. 33) außer Kraft.</w:t>
      </w:r>
    </w:p>
    <w:p>
      <w:r>
        <w:t xml:space="preserve">Dresden, den 18. Februar 2015</w:t>
      </w:r>
    </w:p>
    <w:p>
      <w:r>
        <w:t xml:space="preserve">Die Staatsministerin für Soziales und Verbraucherschutz</w:t>
      </w:r>
    </w:p>
    <w:p>
      <w:r>
        <w:t xml:space="preserve">Barbara Klepsch</w:t>
      </w:r>
    </w:p>
    <w:p>
      <w:r>
        <w:rPr>
          <w:color w:val="555555"/>
          <w:sz w:val="17"/>
        </w:rPr>
        <w:t xml:space="preserve">Zitiervorschlag: § 2 TierBeitrBefrVO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https://recht.nulegal.eu/gesetze/TierBeitrBefrVO/2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