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Tier-LMHV — Verbote und Beschränkungen</w:t>
      </w:r>
    </w:p>
    <w:p>
      <w:r>
        <w:rPr>
          <w:color w:val="555555"/>
          <w:sz w:val="18"/>
        </w:rPr>
        <w:t xml:space="preserve">Tierische Lebensmittel-Hygieneverordnung</w:t>
      </w:r>
    </w:p>
    <w:p>
      <w:r>
        <w:rPr>
          <w:color w:val="555555"/>
          <w:sz w:val="18"/>
        </w:rPr>
        <w:t xml:space="preserve">Stand: 02.07.2020 (konsolidierte Textfassung, kein amtliches Inkrafttretensdatum)</w:t>
      </w:r>
    </w:p>
    <w:p>
      <w:r>
        <w:t xml:space="preserve">(1) Kleine Mengen von Fischereierzeugnissen, die zu den Arten der Schlangenmakrelen, Ölfische oder Rhizinusfische (Gempylidae) gehören, insbesondere Buttermakrelen der Arten Ruvettus pretiosus und Lepidocybium flavobrunneum, dürfen nur mit einem Hinweis, dass das Fischereierzeugnis Stoffe enthalten kann, die nach dem Verzehr zu Verdauungsstörungen führen können, abgegeben werden. Bei der Abgabe in umhüllter oder verpackter Form sind zusätzlich zu dem Hinweis nach Satz 1</w:t>
      </w:r>
    </w:p>
    <w:p>
      <w:pPr>
        <w:ind w:left="420"/>
      </w:pPr>
      <w:r>
        <w:t xml:space="preserve">1. der wissenschaftliche Name und die Handelsbezeichnung der Art des Fisches und</w:t>
      </w:r>
    </w:p>
    <w:p>
      <w:pPr>
        <w:ind w:left="420"/>
      </w:pPr>
      <w:r>
        <w:t xml:space="preserve">2. Zubereitungshinweise</w:t>
      </w:r>
    </w:p>
    <w:p>
      <w:r>
        <w:t xml:space="preserve">nach Maßgabe des Satzes 3 auf der Verpackung oder Umhüllung anzugeben. Für die Art und Weise der Kennzeichnung gelten Artikel 12 Absatz 1 und 2 und Artikel 13 Absatz 1 bis 3 der Verordnung (EU) Nr. 1169/2011 sowie § 2 der Lebensmittelinformations-Durchführungsverordnung entsprechend.</w:t>
      </w:r>
    </w:p>
    <w:p>
      <w:r>
        <w:t xml:space="preserve">(2) Es ist verboten, kleine Mengen von lebenden Muscheln abzugeben, die nicht aus Erzeugungsgebieten stammen, die von der zuständigen Behörde nach Artikel 52 Nummer 2 in Verbindung mit Artikel 53 der Durchführungsverordnung (EU) 2019/627 der Kommission vom 15. März 2019 zur Festlegung einheitlicher praktischer Modalitäten für die Durchführung der amtlichen Kontrollen in Bezug auf für den menschlichen Verzehr bestimmte Erzeugnisse tierischen Ursprungs gemäß der Verordnung (EU) 2017/625 des Europäischen Parlaments und des Rates und zur Änderung der Verordnung (EG) Nr. 2074/2005 der Kommission in Bezug auf amtliche Kontrollen (ABl. L 131 vom 17.5.2019, S. 51) als Gebiet der Klasse A eingestuft worden sind.</w:t>
      </w:r>
    </w:p>
    <w:p>
      <w:r>
        <w:t xml:space="preserve">(3) Es ist verboten, kleine Mengen von erlegtem Wild</w:t>
      </w:r>
    </w:p>
    <w:p>
      <w:pPr>
        <w:ind w:left="420"/>
      </w:pPr>
      <w:r>
        <w:t xml:space="preserve">1. vor Abschluss der amtlichen Fleischuntersuchung nach § 4 Absatz 2 Satz 1 Nummer 1 oder der amtlichen Untersuchung auf Trichinen nach § 4 Absatz 2 Satz 1 Nummer 2 oder</w:t>
      </w:r>
    </w:p>
    <w:p>
      <w:pPr>
        <w:ind w:left="420"/>
      </w:pPr>
      <w:r>
        <w:t xml:space="preserve">2. unausgeweidet</w:t>
      </w:r>
    </w:p>
    <w:p>
      <w:r>
        <w:t xml:space="preserve">an Verbraucher abzugeben.</w:t>
      </w:r>
    </w:p>
    <w:p>
      <w:r>
        <w:rPr>
          <w:color w:val="555555"/>
          <w:sz w:val="17"/>
        </w:rPr>
        <w:t xml:space="preserve">Zitiervorschlag: § 5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