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Tier-LMHV — Hausschlachtungen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als Haustiere oder Farmwild gehaltene Huftiere außerhalb eines zugelassenen Schlachthofes für den eigenen häuslichen Verbrauch schlachten oder töten will, hat das jeweilige Tier nach Maßgabe des Absatzes 2 bei der zuständigen Behörde</w:t>
      </w:r>
    </w:p>
    <w:p>
      <w:pPr>
        <w:ind w:left="420"/>
      </w:pPr>
      <w:r>
        <w:t xml:space="preserve">1. zur amtlichen Schlachttieruntersuchung anzumelden, wenn der Verfügungsberechtigte unmittelbar vor der beabsichtigten Schlachtung eine Störung des Allgemeinbefindens des Tieres festgestellt hat, die nicht auf einen unmittelbar zuvor eingetretenen Unglücksfall zurückzuführen ist,</w:t>
      </w:r>
    </w:p>
    <w:p>
      <w:pPr>
        <w:ind w:left="420"/>
      </w:pPr>
      <w:r>
        <w:t xml:space="preserve">2. zur amtlichen Fleischuntersuchung anzumelden und</w:t>
      </w:r>
    </w:p>
    <w:p>
      <w:pPr>
        <w:ind w:left="420"/>
      </w:pPr>
      <w:r>
        <w:t xml:space="preserve">3. im Falle von Schweinen, Pferden oder anderen Huftieren, die Träger von Trichinen sein können, zur amtlichen Untersuchung auf Trichinen anzumelden.</w:t>
      </w:r>
    </w:p>
    <w:p>
      <w:r>
        <w:t xml:space="preserve">Satz 1 Nummer 3 gilt nicht für die Schlachtung von</w:t>
      </w:r>
    </w:p>
    <w:p>
      <w:pPr>
        <w:ind w:left="420"/>
      </w:pPr>
      <w:r>
        <w:t xml:space="preserve">1. Hausschweinen, die zum Zeitpunkt der Schlachtung nicht abgesetzt und weniger als fünf Wochen alt sind, oder</w:t>
      </w:r>
    </w:p>
    <w:p>
      <w:pPr>
        <w:ind w:left="420"/>
      </w:pPr>
      <w:r>
        <w:t xml:space="preserve">2. anderen Hausschweinen in einem Haltungsbetrieb, der nach Artikel 8 Absatz 1 in Verbindung mit Anhang IV der Durchführungsverordnung (EU) 2015/1375 der Kommission vom 10. August 2015 mit spezifischen Vorschriften für die amtlichen Fleischuntersuchungen auf Trichinen (ABl. L 212 vom 11.8.2015, S. 7) in der geltenden Fassung amtlich anerkannt kontrollierte Haltungsbedingungen anwendet.</w:t>
      </w:r>
    </w:p>
    <w:p>
      <w:r>
        <w:t xml:space="preserve">(2) Die Anmeldung nach Absatz 1 hat unter Angabe des in Aussicht genommenen Zeitpunktes der Schlachtung oder Tötung zu erfolgen.</w:t>
      </w:r>
    </w:p>
    <w:p>
      <w:r>
        <w:rPr>
          <w:color w:val="555555"/>
          <w:sz w:val="17"/>
        </w:rPr>
        <w:t xml:space="preserve">Zitiervorschlag: § 2a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