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Tier-LMHV — Betriebseigene Kontrollen und Nachweise</w:t>
      </w:r>
    </w:p>
    <w:p>
      <w:r>
        <w:rPr>
          <w:color w:val="555555"/>
          <w:sz w:val="18"/>
        </w:rPr>
        <w:t xml:space="preserve">Tierische Lebensmittel-Hygieneverordnung</w:t>
      </w:r>
    </w:p>
    <w:p>
      <w:r>
        <w:rPr>
          <w:color w:val="555555"/>
          <w:sz w:val="18"/>
        </w:rPr>
        <w:t xml:space="preserve">Stand: 10.06.2019 (konsolidierte Textfassung, kein amtliches Inkrafttretensdatum)</w:t>
      </w:r>
    </w:p>
    <w:p>
      <w:r>
        <w:t xml:space="preserve">(1) Wer Primärerzeugnisse tierischen Ursprungs be- oder verarbeitet, hat zu überprüfen, ob</w:t>
      </w:r>
    </w:p>
    <w:p>
      <w:pPr>
        <w:ind w:left="420"/>
      </w:pPr>
      <w:r>
        <w:t xml:space="preserve">1. landwirtschaftlichen Nutztieren einschließlich Bienen verbotene Stoffe verabreicht worden sind und</w:t>
      </w:r>
    </w:p>
    <w:p>
      <w:pPr>
        <w:ind w:left="420"/>
      </w:pPr>
      <w:r>
        <w:t xml:space="preserve">2. bei landwirtschaftlichen Nutztieren einschließlich Bienen nach Anwendung pharmakologisch wirksamer Stoffe die festgesetzten Wartezeiten eingehalten worden sind</w:t>
      </w:r>
    </w:p>
    <w:p>
      <w:r>
        <w:t xml:space="preserve">und nach Maßgabe des Absatzes 4 Satz 1 hierüber Nachweise zu führen.</w:t>
      </w:r>
    </w:p>
    <w:p>
      <w:r>
        <w:t xml:space="preserve">(2) Wer Fleisch gewinnt oder bearbeitet, hat nach Maßgabe des Absatzes 4 Satz 1 Nachweise über Art, Menge und Verbleib des angefallenen Materials der Kategorie 1 nach Artikel 8 der Verordnung (EG) Nr. 1069/2009 des Europäischen Parlaments und des Rates vom 21. Oktober 2009 mit Hygienevorschriften für nicht für den menschlichen Verzehr bestimmte tierische Nebenprodukte und zur Aufhebung der Verordnung (EG) Nr. 1774/2002 (Verordnung über tierische Nebenprodukte) (ABl. L 300 vom 14.11.2009, S. 1) zu führen.</w:t>
      </w:r>
    </w:p>
    <w:p>
      <w:r>
        <w:t xml:space="preserve">(3) Wer nach § 17 Absatz 2 oder 3 Rohmilch abgibt, hat im Rahmen betriebseigener Kontrollen in Bezug auf die der Milchgewinnung dienenden Tiere nach Maßgabe des Absatzes 4 Satz 1 Nachweise zu führen über</w:t>
      </w:r>
    </w:p>
    <w:p>
      <w:pPr>
        <w:ind w:left="420"/>
      </w:pPr>
      <w:r>
        <w:t xml:space="preserve">1. Aufnahme oder Erwerb und Abgabe unter Angabe des Zeitpunktes und der Namen und Anschriften der Lieferanten und Empfänger,</w:t>
      </w:r>
    </w:p>
    <w:p>
      <w:pPr>
        <w:ind w:left="420"/>
      </w:pPr>
      <w:r>
        <w:t xml:space="preserve">2. Zeitpunkt, Art und Dauer von Erkrankungen und einer erkennbaren Störung des allgemeinen Gesundheitszustandes,</w:t>
      </w:r>
    </w:p>
    <w:p>
      <w:pPr>
        <w:ind w:left="420"/>
      </w:pPr>
      <w:r>
        <w:t xml:space="preserve">3. durchgeführte Untersuchungen nach Anlage 9 Kapitel I Nummer 1.1.2 bis 1.1.4 und 3,</w:t>
      </w:r>
    </w:p>
    <w:p>
      <w:pPr>
        <w:ind w:left="420"/>
      </w:pPr>
      <w:r>
        <w:t xml:space="preserve">4. die Ergebnisse der Untersuchungen nach § 18 Absatz 2.</w:t>
      </w:r>
    </w:p>
    <w:p>
      <w:r>
        <w:t xml:space="preserve">(4) Die Nachweise nach den Absätzen 1 bis 3 sind in übersichtlicher Weise geordnet und fortlaufend zu führen. Sie sind zwei Jahre lang aufzubewahren, der zuständigen Behörde auf Verlangen vorzulegen und, soweit die Nachweise auf elektronischen Datenträgern abgespeichert sind, auf Verlangen der zuständigen Behörde auszudrucken.</w:t>
      </w:r>
    </w:p>
    <w:p>
      <w:r>
        <w:rPr>
          <w:color w:val="555555"/>
          <w:sz w:val="17"/>
        </w:rPr>
        <w:t xml:space="preserve">Zitiervorschlag: § 21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