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Tier-LMHV — Abgabe von Rohmilch oder Rohrahm an Verbraucher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Rohmilch oder Rohrahm an Verbraucher abzugeben.</w:t>
      </w:r>
    </w:p>
    <w:p>
      <w:r>
        <w:t xml:space="preserve">(2) Abweichend von Absatz 1 darf Rohmilch als vorverpacktes Lebensmittel unter der Bezeichnung des Lebensmittels „Vorzugsmilch“ an Verbraucher, ausgenommen in Einrichtungen von Anbietern von Gemeinschaftsverpflegung, abgegeben werden, wenn sie</w:t>
      </w:r>
    </w:p>
    <w:p>
      <w:pPr>
        <w:ind w:left="420"/>
      </w:pPr>
      <w:r>
        <w:t xml:space="preserve">1. in einem Milcherzeugungsbetrieb, für den die zuständige Behörde eine Genehmigung nach § 18 Absatz 1 erteilt hat, unter Einhaltung der Anforderungen der Anlage 9 Kapitel I Nummer 1 und 2 gewonnen und behandelt worden ist,</w:t>
      </w:r>
    </w:p>
    <w:p>
      <w:pPr>
        <w:ind w:left="420"/>
      </w:pPr>
      <w:r>
        <w:t xml:space="preserve">2. den Anforderungen an die Beschaffenheit nach Anlage 9 Kapitel I Nummer 3 entspricht,</w:t>
      </w:r>
    </w:p>
    <w:p>
      <w:pPr>
        <w:ind w:left="420"/>
      </w:pPr>
      <w:r>
        <w:t xml:space="preserve">3. in der Zeit von der Abfüllung bis zur Abgabe eine Temperatur von + 8 °C nicht überschritten hat und</w:t>
      </w:r>
    </w:p>
    <w:p>
      <w:pPr>
        <w:ind w:left="420"/>
      </w:pPr>
      <w:r>
        <w:t xml:space="preserve">4. auf der Verpackung mit dem dem Verbrauchsdatum vorangestellten Wort „Rohmilch“ sowie dem nachgestellten Hinweis „Aufbewahren bei höchstens + 8 °C“ gekennzeichnet ist, wobei das Verbrauchsdatum eine Frist von 96 Stunden nach der Gewinnung nicht überschreiten darf.</w:t>
      </w:r>
    </w:p>
    <w:p>
      <w:r>
        <w:t xml:space="preserve">Die zuständige Behörde kann für die Abgabe tiefgefrorener Vorzugsmilch Ausnahmen von den Anforderungen nach Satz 1 Nummer 4 genehmigen.</w:t>
      </w:r>
    </w:p>
    <w:p>
      <w:r>
        <w:t xml:space="preserve">(3) Abweichend von Absatz 1 darf Rohmilch in verschlossenen Kannen oder ähnlichen Behältnissen unter der Bezeichnung des Lebensmittels „Vorzugsmilch“ an Verbraucher, ausgenommen in Einrichtungen von Anbietern von Gemeinschaftsverpflegung, abgegeben werden, wenn die Anforderungen nach Absatz 2 Satz 1 Nummer 1 bis 3 erfüllt sind und die Behältnisse mit einem mit ihnen fest verbundenen Etikett versehen sind, das die Angaben nach Absatz 2 Satz 1 Nummer 4 enthält.</w:t>
      </w:r>
    </w:p>
    <w:p>
      <w:r>
        <w:t xml:space="preserve">(4) Abweichend von Absatz 1 darf Rohmilch ferner von Milcherzeugungsbetrieben unmittelbar an Verbraucher abgegeben werden, wenn</w:t>
      </w:r>
    </w:p>
    <w:p>
      <w:pPr>
        <w:ind w:left="420"/>
      </w:pPr>
      <w:r>
        <w:t xml:space="preserve">1. die Abgabe im Milcherzeugungsbetrieb erfolgt,</w:t>
      </w:r>
    </w:p>
    <w:p>
      <w:pPr>
        <w:ind w:left="420"/>
      </w:pPr>
      <w:r>
        <w:t xml:space="preserve">2. die Rohmilch im eigenen Betrieb gewonnen und behandelt worden ist,</w:t>
      </w:r>
    </w:p>
    <w:p>
      <w:pPr>
        <w:ind w:left="420"/>
      </w:pPr>
      <w:r>
        <w:t xml:space="preserve">3. die Rohmilch am Tag der Abgabe oder am Tag zuvor gewonnen worden ist,</w:t>
      </w:r>
    </w:p>
    <w:p>
      <w:pPr>
        <w:ind w:left="420"/>
      </w:pPr>
      <w:r>
        <w:t xml:space="preserve">4. an der Abgabestelle gut sichtbar und lesbar der Hinweis „Rohmilch, vor dem Verzehr abkochen“ angebracht ist und</w:t>
      </w:r>
    </w:p>
    <w:p>
      <w:pPr>
        <w:ind w:left="420"/>
      </w:pPr>
      <w:r>
        <w:t xml:space="preserve">5. die Abgabe von Rohmilch zuvor der zuständigen Behörde angezeigt worden ist.</w:t>
      </w:r>
    </w:p>
    <w:p>
      <w:r>
        <w:t xml:space="preserve">Im Falle des Satzes 1 gelten die Anforderungen nach Anlage 2 der Lebensmittelhygiene-Verordnung entsprechend. Die zuständige Behörde kann im Einzelfall für die Abgabe von Rohmilch an einen bestimmten Personenkreis Ausnahmen von den Anforderungen des Satzes 1 Nummer 3 bis 5 genehmigen.</w:t>
      </w:r>
    </w:p>
    <w:p>
      <w:r>
        <w:rPr>
          <w:color w:val="555555"/>
          <w:sz w:val="17"/>
        </w:rPr>
        <w:t xml:space="preserve">Zitiervorschlag: § 17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