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Tier-LMHV — Inverkehrbringen bestimmter aufgetauter Lebensmittel tierischen Ursprungs</w:t>
      </w:r>
    </w:p>
    <w:p>
      <w:r>
        <w:rPr>
          <w:color w:val="555555"/>
          <w:sz w:val="18"/>
        </w:rPr>
        <w:t xml:space="preserve">Tierische Lebensmittel-Hygieneverordnung</w:t>
      </w:r>
    </w:p>
    <w:p>
      <w:r>
        <w:rPr>
          <w:color w:val="555555"/>
          <w:sz w:val="18"/>
        </w:rPr>
        <w:t xml:space="preserve">Stand: 10.06.2019 (konsolidierte Textfassung, kein amtliches Inkrafttretensdatum)</w:t>
      </w:r>
    </w:p>
    <w:p>
      <w:r>
        <w:t xml:space="preserve">Fleisch, Hackfleisch und Fleischzubereitungen, die nach der Herstellung gefroren oder tiefgefroren worden sind, dürfen in aufgetautem oder teilweise aufgetautem Zustand unverpackt nur an Verbraucher abgegeben werden, wenn gut sichtbar und eindeutig mit der Angabe „aufgetaut“ auf diesen Zustand hingewiesen wird.</w:t>
      </w:r>
    </w:p>
    <w:p>
      <w:r>
        <w:rPr>
          <w:color w:val="555555"/>
          <w:sz w:val="17"/>
        </w:rPr>
        <w:t xml:space="preserve">Zitiervorschlag: § 16a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