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Tier-LMHV — Ausnahmen für das Inverkehrbringen von Hackfleisch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Artikel 3 Absatz 1 in Verbindung mit Anhang III Abschnitt V Kapitel III Nummer 1 Satz 2 Buchstabe a der Verordnung (EG) Nr. 853/2004 kann die zuständige Behörde genehmigen, dass Hackfleisch aus Fleisch von Schweinen hergestellt wird, das nach der Schlachtung und Zerlegung bis zur Verarbeitung nicht gekühlt worden ist, soweit das Hackfleisch</w:t>
      </w:r>
    </w:p>
    <w:p>
      <w:pPr>
        <w:ind w:left="420"/>
      </w:pPr>
      <w:r>
        <w:t xml:space="preserve">1. innerhalb von nicht mehr als vier Stunden nach der Schlachtung hergestellt wird,</w:t>
      </w:r>
    </w:p>
    <w:p>
      <w:pPr>
        <w:ind w:left="420"/>
      </w:pPr>
      <w:r>
        <w:t xml:space="preserve">2. am Tage der Herstellung in den Verkehr gebracht und</w:t>
      </w:r>
    </w:p>
    <w:p>
      <w:pPr>
        <w:ind w:left="420"/>
      </w:pPr>
      <w:r>
        <w:t xml:space="preserve">3. nur</w:t>
      </w:r>
    </w:p>
    <w:p>
      <w:pPr>
        <w:ind w:left="780"/>
      </w:pPr>
      <w:r>
        <w:t xml:space="preserve">a) lose und direkt an Verbraucher oder Betriebe des Einzelhandels zur direkten Abgabe an den Verbraucher und</w:t>
      </w:r>
    </w:p>
    <w:p>
      <w:pPr>
        <w:ind w:left="780"/>
      </w:pPr>
      <w:r>
        <w:t xml:space="preserve">b) in dem in Anlage 8b beschriebenen Gebiet</w:t>
      </w:r>
    </w:p>
    <w:p>
      <w:pPr>
        <w:ind w:left="420"/>
      </w:pPr>
      <w:r>
        <w:t xml:space="preserve">abgegeben wird.</w:t>
      </w:r>
    </w:p>
    <w:p>
      <w:r>
        <w:rPr>
          <w:color w:val="555555"/>
          <w:sz w:val="17"/>
        </w:rPr>
        <w:t xml:space="preserve">Zitiervorschlag: § 13a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