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Tier-LMÜV — Kennzeichnung der Genusstauglichkeit</w:t>
      </w:r>
    </w:p>
    <w:p>
      <w:r>
        <w:rPr>
          <w:color w:val="555555"/>
          <w:sz w:val="18"/>
        </w:rPr>
        <w:t xml:space="preserve">Tierische Lebensmittel-Überwachungsverordnung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Kleine Mengen erlegten Großwildes, bei dem keine Fleischuntersuchung nach § 6 Absatz 1 Satz 1 Nummer 1 durchgeführt, das aber nach § 6 Absatz 1 Satz 1 Nummer 2 auf Trichinen untersucht und nicht nach § 6 Absatz 1 Satz 2 in Verbindung mit Artikel 28 Absatz 6, auch in Verbindung mit Artikel 45, und Artikel 31 Absatz 2 der Durchführungsverordnung (EU) 2019/627 für genussuntauglich erklärt worden ist, sind auf den frei liegenden Fleischteilen oder dem Brustfell mit einem Kennzeichen nach Form und Inhalt des Musters der Anlage 1 Nummer 1 zu kennzeichnen. Satz 1 gilt nicht im Falle des § 6 Absatz 2 Satz 1 Nummer 2.</w:t>
      </w:r>
    </w:p>
    <w:p>
      <w:r>
        <w:t xml:space="preserve">(2) Kleine Mengen erlegten Großwildes, das nach § 6 Absatz 1 Satz 1 Nummer 1 untersucht und nicht nach § 6 Absatz 1 Satz 2 in Verbindung mit Artikel 28 Absatz 6, auch in Verbindung mit Artikel 45, und Artikel 31 Absatz 2 der Durchführungsverordnung (EU) 2019/627 für genussuntauglich erklärt worden ist, sind mit einem Kennzeichen nach Form und Inhalt des Musters der Anlage 1 Nummer 2 entsprechend Artikel 48 Absatz 2 Buchstabe b der Durchführungsverordnung (EU) 2019/627 zu kennzeichnen.</w:t>
      </w:r>
    </w:p>
    <w:p>
      <w:r>
        <w:t xml:space="preserve">(3) (weggefallen)</w:t>
      </w:r>
    </w:p>
    <w:p>
      <w:r>
        <w:t xml:space="preserve">(4) Fleisch, ausgenommen Fleisch von Geflügel oder Hasentieren, das nach Artikel 45 oder Artikel 28 Absatz 6 der Durchführungsverordnung (EU) 2019/627 genussuntauglich erklärt wurde, ist mit einem Kennzeichen nach Form und Inhalt des Musters der Anlage 1 Nummer 4 in der in den Absätzen 1 bis 2 geregelten Weise zu kennzeichnen.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8 Tier-LMÜV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https://recht.nulegal.eu/gesetze/Tier-LM%C3%9CV/8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