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7b Tier-LMÜV — Tierartspezifische Kriterien für und Anforderungen an die Durchführung der Schlachttieruntersuchung im Herkunftsbetrieb</w:t>
      </w:r>
    </w:p>
    <w:p>
      <w:r>
        <w:rPr>
          <w:color w:val="555555"/>
          <w:sz w:val="18"/>
        </w:rPr>
        <w:t xml:space="preserve">Tierische Lebensmittel-Überwachungsverordnung</w:t>
      </w:r>
    </w:p>
    <w:p>
      <w:r>
        <w:rPr>
          <w:color w:val="555555"/>
          <w:sz w:val="18"/>
        </w:rPr>
        <w:t xml:space="preserve">Stand: 28.05.2021 (konsolidierte Textfassung, kein amtliches Inkrafttretensdatum)</w:t>
      </w:r>
    </w:p>
    <w:p>
      <w:r>
        <w:t xml:space="preserve">(1) Auf Antrag des für die Farmwildhaltung verantwortlichen Lebensmittelunternehmers kann die zuständige Behörde nach Artikel 6 Absatz 5 der Delegierten Verordnung (EU) 2019/624 Schlachtungen von Farmwild abweichend von Artikel 5 Absatz 4 der Delegierten Verordnung (EU) 2019/624 genehmigen.</w:t>
      </w:r>
    </w:p>
    <w:p>
      <w:r>
        <w:t xml:space="preserve">(2) Die Genehmigung nach Anhang III Abschnitt III Nummer 3 der Verordnung (EG) Nr. 853/2004 darf unter den Voraussetzungen des Absatzes 1 auch dann erteilt werden, wenn der Betrieb nicht über Verfahren nach Anhang III Abschnitt III Nummer 3 Buchstabe e der Verordnung (EG) Nr. 853/2004 verfügt.</w:t>
      </w:r>
    </w:p>
    <w:p>
      <w:r>
        <w:rPr>
          <w:color w:val="555555"/>
          <w:sz w:val="17"/>
        </w:rPr>
        <w:t xml:space="preserve">Zitiervorschlag: § 7b Tier-LMÜV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https://recht.nulegal.eu/gesetze/Tier-LM%C3%9CV/7b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