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Tier-LMÜV — Übergangsvorschriften</w:t>
      </w:r>
    </w:p>
    <w:p>
      <w:r>
        <w:rPr>
          <w:color w:val="555555"/>
          <w:sz w:val="18"/>
        </w:rPr>
        <w:t xml:space="preserve">Tierische Lebensmittel-Überwachungsverordnung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Abweichend von § 6 Absatz 2 ist bis zum 20. November 2010 § 22a Absatz 1 Satz 2 und 3 des Fleischhygienegesetzes in der Fassung der Bekanntmachung vom 30. Juni 2003 (BGBl. I S. 1242, 1585) in der bis zum 6. September 2005 geltenden Fassung weiter anzuwenden.</w:t>
      </w:r>
    </w:p>
    <w:p>
      <w:r>
        <w:rPr>
          <w:color w:val="555555"/>
          <w:sz w:val="17"/>
        </w:rPr>
        <w:t xml:space="preserve">Zitiervorschlag: § 11 Tier-LMÜV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https://recht.nulegal.eu/gesetze/Tier-LM%C3%9CV/11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