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TiefbauBAusbV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 und Durchführen von Tiefbauarbeiten“    mit 40 Prozent,</w:t>
      </w:r>
    </w:p>
    <w:p>
      <w:r>
        <w:rPr>
          <w:rFonts w:ascii="Courier New" w:hAnsi="Courier New"/>
          <w:sz w:val="17"/>
        </w:rPr>
        <w:t xml:space="preserve">„Durchführen von Instandsetzungen an Oberbauanlagen“    mit 30 Prozent,</w:t>
      </w:r>
    </w:p>
    <w:p>
      <w:r>
        <w:rPr>
          <w:rFonts w:ascii="Courier New" w:hAnsi="Courier New"/>
          <w:sz w:val="17"/>
        </w:rPr>
        <w:t xml:space="preserve">„Bauen und Instandhalten von Gleisen“    mit 10 Prozent,</w:t>
      </w:r>
    </w:p>
    <w:p>
      <w:r>
        <w:rPr>
          <w:rFonts w:ascii="Courier New" w:hAnsi="Courier New"/>
          <w:sz w:val="17"/>
        </w:rPr>
        <w:t xml:space="preserve">„Bauen und Instandhalten von Weichen“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99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„Durchführen von Instandsetzungen an Oberbauanlagen“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98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