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TiefbauBAusbV — Struktur der Berufsausbildung zum Spezialtiefbauer und zur Spezialtiefbauerin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Bearbeiten von Metallen,</w:t>
      </w:r>
    </w:p>
    <w:p>
      <w:pPr>
        <w:ind w:left="420"/>
      </w:pPr>
      <w:r>
        <w:t xml:space="preserve">17. Herstellen von Bohrungen,</w:t>
      </w:r>
    </w:p>
    <w:p>
      <w:pPr>
        <w:ind w:left="420"/>
      </w:pPr>
      <w:r>
        <w:t xml:space="preserve">18. Herstellen von Pfählen, Kleinbohrpfählen und Ankersystemen,</w:t>
      </w:r>
    </w:p>
    <w:p>
      <w:pPr>
        <w:ind w:left="420"/>
      </w:pPr>
      <w:r>
        <w:t xml:space="preserve">19. Herstellen von Baugruben-, Hang- und Gebäudesicherungen,</w:t>
      </w:r>
    </w:p>
    <w:p>
      <w:pPr>
        <w:ind w:left="420"/>
      </w:pPr>
      <w:r>
        <w:t xml:space="preserve">20. Herstellen von Baugrundverbesserungen,</w:t>
      </w:r>
    </w:p>
    <w:p>
      <w:pPr>
        <w:ind w:left="420"/>
      </w:pPr>
      <w:r>
        <w:t xml:space="preserve">21. Durchführen von Ramm-, Press- und Vibrationsarbeiten,</w:t>
      </w:r>
    </w:p>
    <w:p>
      <w:pPr>
        <w:ind w:left="420"/>
      </w:pPr>
      <w:r>
        <w:t xml:space="preserve">22. Herstellen von Schlitz- und Dichtwänden sowie</w:t>
      </w:r>
    </w:p>
    <w:p>
      <w:pPr>
        <w:ind w:left="420"/>
      </w:pPr>
      <w:r>
        <w:t xml:space="preserve">23. umweltgerechte und ressourcenschonende Anwendung von Sonderverfahren im Spezialtiefbau.</w:t>
      </w:r>
    </w:p>
    <w:p>
      <w:r>
        <w:t xml:space="preserve">Die Vermittlung der Fertigkeiten, Kenntnisse und Fähigkeiten nach Satz 1 Nummer 8 bis 12 und 14 erfolgt im Zusammenhang mit der Vermittlung anderer Fertigkeiten, Kenntnisse und Fähigkeiten des Ausbildungsberufs Spezialtiefbauer und Spezialtiefbauerin.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