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TiefbauBAusbV — Erwerb des Abschlusses zum Tiefbaufacharbeiter und zur Tiefbaufacharbeiterin nach nichtbestandener Abschlussprüfung zum Spezialtiefbauer und zur Spezialtiefbauerin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Spezialtiefbauer und zur Spezialtiefbauerin nach § 85 Absatz 2 nicht, erwirbt er auf seinen Antrag den Abschluss zum Tiefbaufacharbeiter und zur Tiefbaufacharbeiterin nach Abschnitt 2, wenn</w:t>
      </w:r>
    </w:p>
    <w:p>
      <w:pPr>
        <w:ind w:left="420"/>
      </w:pPr>
      <w:r>
        <w:t xml:space="preserve">1. er in Teil 1 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85 – auch unter Berücksichtigung einer mündlichen Ergänzungsprüfung nach § 86 – jeweils die Anforderungen nach § 22 Absatz 2 erfüllen.</w:t>
      </w:r>
    </w:p>
    <w:p>
      <w:r>
        <w:rPr>
          <w:color w:val="555555"/>
          <w:sz w:val="17"/>
        </w:rPr>
        <w:t xml:space="preserve">Zitiervorschlag: § 88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