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TiefbauBAusbV — Struktur der Berufsausbildung zum Brunnenbauer und zur Brunnenbauerin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Bearbeiten von Metallen und Kunststoffen,</w:t>
      </w:r>
    </w:p>
    <w:p>
      <w:pPr>
        <w:ind w:left="420"/>
      </w:pPr>
      <w:r>
        <w:t xml:space="preserve">17. Herstellen von vertikalen Bohrungen für Brunnen und geothermische Anlagen,</w:t>
      </w:r>
    </w:p>
    <w:p>
      <w:pPr>
        <w:ind w:left="420"/>
      </w:pPr>
      <w:r>
        <w:t xml:space="preserve">18. Herstellen von horizontalen Bohrungen,</w:t>
      </w:r>
    </w:p>
    <w:p>
      <w:pPr>
        <w:ind w:left="420"/>
      </w:pPr>
      <w:r>
        <w:t xml:space="preserve">19. Ausbauen von Bohrungen zu Brunnen, Grundwassermessstellen und geothermischen Anlagen,</w:t>
      </w:r>
    </w:p>
    <w:p>
      <w:pPr>
        <w:ind w:left="420"/>
      </w:pPr>
      <w:r>
        <w:t xml:space="preserve">20. Herstellen von Abschlussbauwerken,</w:t>
      </w:r>
    </w:p>
    <w:p>
      <w:pPr>
        <w:ind w:left="420"/>
      </w:pPr>
      <w:r>
        <w:t xml:space="preserve">21. Installieren von Wasserförder- und Wasserversorgungsanlagen sowie</w:t>
      </w:r>
    </w:p>
    <w:p>
      <w:pPr>
        <w:ind w:left="420"/>
      </w:pPr>
      <w:r>
        <w:t xml:space="preserve">22. Instandhalten, Sanieren und Rückbauen von Brunnen und geothermischen Anlagen.</w:t>
      </w:r>
    </w:p>
    <w:p>
      <w:r>
        <w:t xml:space="preserve">Die Vermittlung der Fertigkeiten, Kenntnisse und Fähigkeiten nach Satz 1 Nummer 8 bis 12 und 14 erfolgt im Zusammenhang mit der Vermittlung anderer Fertigkeiten, Kenntnisse und Fähigkeiten des Ausbildungsberufs Brunnenbauer und Brunnenbauerin.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