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TiefbauBAusbV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Tiefbauarbeiten“    mit 40 Prozent,</w:t>
      </w:r>
    </w:p>
    <w:p>
      <w:r>
        <w:rPr>
          <w:rFonts w:ascii="Courier New" w:hAnsi="Courier New"/>
          <w:sz w:val="17"/>
        </w:rPr>
        <w:t xml:space="preserve">„Herstellen von Bohrungen und deren Ausbau“    mit 30 Prozent,</w:t>
      </w:r>
    </w:p>
    <w:p>
      <w:r>
        <w:rPr>
          <w:rFonts w:ascii="Courier New" w:hAnsi="Courier New"/>
          <w:sz w:val="17"/>
        </w:rPr>
        <w:t xml:space="preserve">„Durchführen von Bohrungen und Brunnenbauarbeiten“    mit 10 Prozent,</w:t>
      </w:r>
    </w:p>
    <w:p>
      <w:r>
        <w:rPr>
          <w:rFonts w:ascii="Courier New" w:hAnsi="Courier New"/>
          <w:sz w:val="17"/>
        </w:rPr>
        <w:t xml:space="preserve">„Einbauen von Wasserversorgungsanlagen“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73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Bohrungen und deren Ausbau“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72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