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TiefbauBAusbV — Prüfungsbereiche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Bohrungen und deren Ausbau“,</w:t>
      </w:r>
    </w:p>
    <w:p>
      <w:pPr>
        <w:ind w:left="420"/>
      </w:pPr>
      <w:r>
        <w:t xml:space="preserve">2. „Durchführen von Bohrungen und Brunnenbauarbeiten“,</w:t>
      </w:r>
    </w:p>
    <w:p>
      <w:pPr>
        <w:ind w:left="420"/>
      </w:pPr>
      <w:r>
        <w:t xml:space="preserve">3. „Einbauen von Wasserversorgungsanlagen“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67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