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TiefbauBAusbV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Tiefbauarbeiten“    mit 40 Prozent,</w:t>
      </w:r>
    </w:p>
    <w:p>
      <w:r>
        <w:rPr>
          <w:rFonts w:ascii="Courier New" w:hAnsi="Courier New"/>
          <w:sz w:val="17"/>
        </w:rPr>
        <w:t xml:space="preserve">„Herstellen von Infrastrukturleitungen“    mit 30 Prozent,</w:t>
      </w:r>
    </w:p>
    <w:p>
      <w:r>
        <w:rPr>
          <w:rFonts w:ascii="Courier New" w:hAnsi="Courier New"/>
          <w:sz w:val="17"/>
        </w:rPr>
        <w:t xml:space="preserve">„Durchführen von Leitungsbauarbeiten“    mit 10 Prozent,</w:t>
      </w:r>
    </w:p>
    <w:p>
      <w:r>
        <w:rPr>
          <w:rFonts w:ascii="Courier New" w:hAnsi="Courier New"/>
          <w:sz w:val="17"/>
        </w:rPr>
        <w:t xml:space="preserve">„Durchführen von Tiefbaumaßnahmen“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60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Infrastrukturleitungen“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59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