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TiefbauBAusbV — Prüfungsbereich „Durchführen von Leitungsbauarbeiten“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Leitungsbauarbeiten“ hat der Prüfling nachzuweisen, dass er in der Lage ist,</w:t>
      </w:r>
    </w:p>
    <w:p>
      <w:pPr>
        <w:ind w:left="420"/>
      </w:pPr>
      <w:r>
        <w:t xml:space="preserve">1. Werkzeuge und Maschinen zur Erstellung von Gruben und Gräben zu unterscheiden und auszuwählen,</w:t>
      </w:r>
    </w:p>
    <w:p>
      <w:pPr>
        <w:ind w:left="420"/>
      </w:pPr>
      <w:r>
        <w:t xml:space="preserve">2. Verfahren zur Herstellung von Gruben und Gräben, Durchführung von Verbauarbeiten und Wasserhaltung zu unterscheiden und auszuwählen,</w:t>
      </w:r>
    </w:p>
    <w:p>
      <w:pPr>
        <w:ind w:left="420"/>
      </w:pPr>
      <w:r>
        <w:t xml:space="preserve">3. Verfahren zum Korrosionsschutz und Schutz vor chemischen Einflüssen von Druckrohrleitungen zu beschreiben,</w:t>
      </w:r>
    </w:p>
    <w:p>
      <w:pPr>
        <w:ind w:left="420"/>
      </w:pPr>
      <w:r>
        <w:t xml:space="preserve">4. Druckrohrleitungen und Hausanschlüsse für gasförmige Medien zu unterscheiden,</w:t>
      </w:r>
    </w:p>
    <w:p>
      <w:pPr>
        <w:ind w:left="420"/>
      </w:pPr>
      <w:r>
        <w:t xml:space="preserve">5. Verfahren zur offenen und geschlossenen Bauweise von Versorgungs-, Elektro- und Kommunikationsleitungen zu unterscheiden und auszuwählen,</w:t>
      </w:r>
    </w:p>
    <w:p>
      <w:pPr>
        <w:ind w:left="420"/>
      </w:pPr>
      <w:r>
        <w:t xml:space="preserve">6. Schäden an Rohren, Armaturen und Formstücken zu analysieren und den Ist-Zustand zu dokumentieren sowie Maßnahmen zur Schadensbegrenzung zu erläutern sowie</w:t>
      </w:r>
    </w:p>
    <w:p>
      <w:pPr>
        <w:ind w:left="420"/>
      </w:pPr>
      <w:r>
        <w:t xml:space="preserve">7. Instandhaltungsverfahren an Rohren, Armaturen und Formstücken zu unterscheiden und auszuwählen.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56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