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TiefbauBAusbV — Inhalt des Teiles 1</w:t>
      </w:r>
    </w:p>
    <w:p>
      <w:r>
        <w:rPr>
          <w:color w:val="555555"/>
          <w:sz w:val="18"/>
        </w:rPr>
        <w:t xml:space="preserve">Tiefbauberufeausbildungsverordnung</w:t>
      </w:r>
    </w:p>
    <w:p>
      <w:r>
        <w:rPr>
          <w:color w:val="555555"/>
          <w:sz w:val="18"/>
        </w:rPr>
        <w:t xml:space="preserve">Stand: 01.08.2026 (konsolidierte Textfassung, kein amtliches Inkrafttretensdatum)</w:t>
      </w:r>
    </w:p>
    <w:p>
      <w:r>
        <w:t xml:space="preserve">Teil 1 der Abschlussprüfung erstreckt sich auf</w:t>
      </w:r>
    </w:p>
    <w:p>
      <w:pPr>
        <w:ind w:left="420"/>
      </w:pPr>
      <w:r>
        <w:t xml:space="preserve">1. die im Ausbildungsrahmenplan für die Berufsausbildung zum Tiefbaufacharbeiter und zur Tiefbaufacharbeiterin im Schwerpunkt Leitungsbauarbeiten für Infrastrukturtechnik sowie zum Leitungsbauer für Infrastrukturtechnik und zur Leitungsbauerin für Infrastrukturtechnik in Anlage 3 Abschnitt A, B und D für die ersten 24 Monate genannten Fertigkeiten, Kenntnisse und Fähigkeiten sowie</w:t>
      </w:r>
    </w:p>
    <w:p>
      <w:pPr>
        <w:ind w:left="420"/>
      </w:pPr>
      <w:r>
        <w:t xml:space="preserve">2. den im Berufsschulunterricht zu vermittelnden Lehrstoff, soweit er den im Ausbildungsrahmenplan für die Berufsausbildung zum Tiefbaufacharbeiter und zur Tiefbaufacharbeiterin im Schwerpunkt Leitungsbauarbeiten für Infrastrukturtechnik sowie zum Leitungsbauer für Infrastrukturtechnik und zur Leitungsbauerin für Infrastrukturtechnik in Anlage 3 Abschnitt A, B und D genannten Fertigkeiten, Kenntnissen und Fähigkeiten entspricht.</w:t>
      </w:r>
    </w:p>
    <w:p>
      <w:r>
        <w:rPr>
          <w:color w:val="555555"/>
          <w:sz w:val="17"/>
        </w:rPr>
        <w:t xml:space="preserve">Zitiervorschlag: § 51 TiefbauBAusbV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https://recht.nulegal.eu/gesetze/TiefbauBAusbV/51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