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TiefbauBAusbV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von Baukörpern und Durchführen von Tiefbauarbeiten“    mit 40 Prozent,</w:t>
      </w:r>
    </w:p>
    <w:p>
      <w:r>
        <w:rPr>
          <w:rFonts w:ascii="Courier New" w:hAnsi="Courier New"/>
          <w:sz w:val="17"/>
        </w:rPr>
        <w:t xml:space="preserve">„Herstellen von Kanalleitungen, Schacht- und Sonderbauwerken“    mit 30 Prozent,</w:t>
      </w:r>
    </w:p>
    <w:p>
      <w:r>
        <w:rPr>
          <w:rFonts w:ascii="Courier New" w:hAnsi="Courier New"/>
          <w:sz w:val="17"/>
        </w:rPr>
        <w:t xml:space="preserve">„Durchführen von Kanalbauarbeiten“    mit 10 Prozent,</w:t>
      </w:r>
    </w:p>
    <w:p>
      <w:r>
        <w:rPr>
          <w:rFonts w:ascii="Courier New" w:hAnsi="Courier New"/>
          <w:sz w:val="17"/>
        </w:rPr>
        <w:t xml:space="preserve">„Durchführen von Tiefbaumaßnahmen“    mit 10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47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„Herstellen von Kanalleitungen, Schacht- und Sonderbauwerken“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46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