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TiefbauBAusbV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Tiefbaufacharbeiter und zur Tiefbaufacharbeiterin nach § 22 Absatz 2 ist</w:t>
      </w:r>
    </w:p>
    <w:p>
      <w:pPr>
        <w:ind w:left="420"/>
      </w:pPr>
      <w:r>
        <w:t xml:space="preserve">1. der oder die Auszubildende von Teil 1 der Gesellen- oder Abschlussprüfung zum Straßenbauer und zur Straßenbauerin befreit und</w:t>
      </w:r>
    </w:p>
    <w:p>
      <w:pPr>
        <w:ind w:left="420"/>
      </w:pPr>
      <w:r>
        <w:t xml:space="preserve">2. diese Ausbildung im Umfang von 24 Monaten auf die Dauer der Berufsausbildung zum Straßenbauer und zur Straßenbauerin anzurechnen, wenn die Vertragsparteien dies vereinbaren.</w:t>
      </w:r>
    </w:p>
    <w:p>
      <w:r>
        <w:rPr>
          <w:color w:val="555555"/>
          <w:sz w:val="17"/>
        </w:rPr>
        <w:t xml:space="preserve">Zitiervorschlag: § 35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