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TiefbauBAusbV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Baukörpern“    mit 60 Prozent,</w:t>
      </w:r>
    </w:p>
    <w:p>
      <w:r>
        <w:rPr>
          <w:rFonts w:ascii="Courier New" w:hAnsi="Courier New"/>
          <w:sz w:val="17"/>
        </w:rPr>
        <w:t xml:space="preserve">„Durchführen von Tiefbauarbeiten“    mit 30 Prozent</w:t>
      </w:r>
    </w:p>
    <w:p>
      <w:pPr>
        <w:ind w:left="420"/>
      </w:pPr>
      <w:r>
        <w:t xml:space="preserve">2.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3. (2) Die Gesellen- oder Abschlussprüfung ist bestanden, wenn die Prüfungsleistungen – auch unter Berücksichtigung einer mündlichen Ergänzungsprüfung nach § 23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22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