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ThermMstrV — Gliederung, Dauer und Bestehen der praktischen Prüfung (Teil I)</w:t>
      </w:r>
    </w:p>
    <w:p>
      <w:r>
        <w:rPr>
          <w:color w:val="555555"/>
          <w:sz w:val="18"/>
        </w:rPr>
        <w:t xml:space="preserve">Thermometermachermeisterverordnung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soll nicht länger als zwei Arbeitstage, die Ausführung der Arbeitsprobe nicht länger als zwölf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ThermMstrV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https://recht.nulegal.eu/gesetze/ThermMstrV/2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