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ThermMAusbV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und auf Grund des § 25 der Handwerksordnung in der Fassung der Bekanntmachung vom 28. Dezember 1965 (BGBl. 1966 I S. 1), der zuletzt durch § 25 Nr. 1 des Gesetzes vom 24. August 1976 (BGBl. I S. 2525) geändert worden ist, und unter Berücksichtigung von Artikel 1 Nr. 2 der Verordnung vom 2. November 1983 (BGBl. I S. 1354)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