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ThermMAusbV — Ausbildungsdauer, Fachrichtungen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 Für das dritte Ausbildungsjahr kann zwischen den Fachrichtungen</w:t>
      </w:r>
    </w:p>
    <w:p>
      <w:pPr>
        <w:ind w:left="420"/>
      </w:pPr>
      <w:r>
        <w:t xml:space="preserve">1. Thermometerblasen und</w:t>
      </w:r>
    </w:p>
    <w:p>
      <w:pPr>
        <w:ind w:left="420"/>
      </w:pPr>
      <w:r>
        <w:t xml:space="preserve">2. Thermometerjustieren</w:t>
      </w:r>
    </w:p>
    <w:p>
      <w:r>
        <w:t xml:space="preserve">gewählt werden.</w:t>
      </w:r>
    </w:p>
    <w:p>
      <w:r>
        <w:rPr>
          <w:color w:val="555555"/>
          <w:sz w:val="17"/>
        </w:rPr>
        <w:t xml:space="preserve">Zitiervorschlag: § 3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