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ThermMAusbV — Berlin-Klausel</w:t>
      </w:r>
    </w:p>
    <w:p>
      <w:r>
        <w:rPr>
          <w:color w:val="555555"/>
          <w:sz w:val="18"/>
        </w:rPr>
        <w:t xml:space="preserve">Thermometermacher-Ausbildungsverordnung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und § 128 der Handwerksordnung auch im Land Berlin.</w:t>
      </w:r>
    </w:p>
    <w:p>
      <w:r>
        <w:rPr>
          <w:color w:val="555555"/>
          <w:sz w:val="17"/>
        </w:rPr>
        <w:t xml:space="preserve">Zitiervorschlag: § 12 ThermMAusbV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