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ThUG — Beiordnung eines Rechtsanwalts</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(1) Das Gericht hat dem Betroffenen zur Wahrnehmung seiner Rechte im Verfahren und für die Dauer der Therapieunterbringung einen Rechtsanwalt beizuordnen. § 78c Absatz 1 und 3 der Zivilprozessordnung gilt entsprechend.</w:t>
      </w:r>
    </w:p>
    <w:p>
      <w:r>
        <w:t xml:space="preserve">(2) Der beigeordnete Rechtsanwalt hat die Stellung eines Beistands. § 48 Absatz 1 Nummer 3 und Absatz 2 der Bundesrechtsanwaltsordnung gilt entsprechend.</w:t>
      </w:r>
    </w:p>
    <w:p>
      <w:r>
        <w:t xml:space="preserve">(3) Die Beiordnung ist auf Antrag des beigeordneten Rechtsanwalts oder des Betroffenen nach rechtskräftigem Abschluss des gerichtlichen Verfahrens aufzuheben, wenn der Antragsteller hieran ein berechtigtes Interesse hat. Die Aufhebung der Beiordnung aus wichtigem Grund bleibt hiervon unberührt. Wird die Beiordnung während der Therapieunterbringung aufgehoben, so ist dem Betroffenen unverzüglich ein anderer Rechtsanwalt beizuordnen.</w:t>
      </w:r>
    </w:p>
    <w:p>
      <w:r>
        <w:t xml:space="preserve">(4) Von der Beiordnung ausgenommen sind Vollzugsangelegenheiten.</w:t>
      </w:r>
    </w:p>
    <w:p>
      <w:r>
        <w:rPr>
          <w:color w:val="555555"/>
          <w:sz w:val="17"/>
        </w:rPr>
        <w:t xml:space="preserve">Zitiervorschlag: § 7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