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ThUG — Einleitung des gerichtlichen Verfahrens</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Das gerichtliche Verfahren wird eingeleitet, wenn Gründe für die Annahme bestehen, dass die Voraussetzungen für eine Therapieunterbringung nach § 1 gegeben sind. Den Antrag stellt die untere Verwaltungsbehörde, in deren Zuständigkeitsbereich das Bedürfnis für die Therapieunterbringung entsteht. Befindet sich der Betroffene in der Sicherungsverwahrung, so ist auch der Leiter der Einrichtung antragsberechtigt, in der diese vollstreckt wird. Der Betroffene ist über die Antragstellung zu unterrichten.</w:t>
      </w:r>
    </w:p>
    <w:p>
      <w:r>
        <w:t xml:space="preserve">(2) Der Antrag ist bereits vor der Entlassung des Betroffenen aus der Sicherungsverwahrung zulässig. Er gilt als zurückgenommen, wenn nicht innerhalb von zwölf Monaten seit Antragstellung die in § 1 Absatz 1 vorausgesetzte Entscheidung rechtskräftig geworden ist.</w:t>
      </w:r>
    </w:p>
    <w:p>
      <w:r>
        <w:t xml:space="preserve">(3) Die für die Sicherungsverwahrung des Betroffenen zuständige Vollstreckungsbehörde, der in Absatz 1 Satz 3 genannte Antragsberechtigte sowie die Führungsaufsichtsstelle des Betroffenen teilen der zuständigen unteren Verwaltungsbehörde die für die Einleitung des gerichtlichen Verfahrens notwendigen Daten mit, wenn Gründe für die Annahme bestehen, dass die Voraussetzungen für eine Therapieunterbringung nach § 1 gegeben sind. Die Übermittlung personenbezogener Daten zu dem in Satz 1 genannten Zweck ist zulässig, wenn dem keine schutzwürdigen Interessen des Betroffenen entgegenstehen. Der Inhalt der Mitteilung, die Art und Weise ihrer Übermittlung und der Empfänger sind aktenkundig zu machen. Der Betroffene ist über die Mitteilung und den Inhalt der Mitteilung zu unterrichten.</w:t>
      </w:r>
    </w:p>
    <w:p>
      <w:r>
        <w:rPr>
          <w:color w:val="555555"/>
          <w:sz w:val="17"/>
        </w:rPr>
        <w:t xml:space="preserve">Zitiervorschlag: § 5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