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ThUG — Sachliche und örtliche Zuständigkeit; Besetzung des Spruchkörpers</w:t>
      </w:r>
    </w:p>
    <w:p>
      <w:r>
        <w:rPr>
          <w:color w:val="555555"/>
          <w:sz w:val="18"/>
        </w:rPr>
        <w:t xml:space="preserve">Therapieunterbringungsgesetz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Für das gerichtliche Verfahren nach diesem Gesetz sind die Zivilkammern der Landgerichte ausschließlich zuständig. Eine Übertragung der Entscheidung auf den Einzelrichter ist ausgeschlossen.</w:t>
      </w:r>
    </w:p>
    <w:p>
      <w:r>
        <w:t xml:space="preserve">(2) Örtlich ausschließlich zuständig ist das Gericht, in dessen Bezirk das Bedürfnis für die Therapieunterbringung entsteht. Befindet sich die Person, die nach § 1 untergebracht werden soll (Betroffener), in der Sicherungsverwahrung, ist das Gericht ausschließlich zuständig, in dessen Bezirk die Einrichtung liegt, in der diese vollstreckt wird.</w:t>
      </w:r>
    </w:p>
    <w:p>
      <w:r>
        <w:rPr>
          <w:color w:val="555555"/>
          <w:sz w:val="17"/>
        </w:rPr>
        <w:t xml:space="preserve">Zitiervorschlag: § 4 ThUG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https://recht.nulegal.eu/gesetze/ThUG/4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