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ThUG — Vergütung des Rechtsanwalts</w:t>
      </w:r>
    </w:p>
    <w:p>
      <w:r>
        <w:rPr>
          <w:color w:val="555555"/>
          <w:sz w:val="18"/>
        </w:rPr>
        <w:t xml:space="preserve">Therapieunterbringungsgesetz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Verfahren nach diesem Gesetz über die Anordnung, Verlängerung oder Aufhebung der Therapieunterbringung erhält der Rechtsanwalt Gebühren in entsprechender Anwendung von Teil 6 Abschnitt 3 des Vergütungsverzeichnisses zum Rechtsanwaltsvergütungsgesetz.</w:t>
      </w:r>
    </w:p>
    <w:p>
      <w:r>
        <w:t xml:space="preserve">(2) § 52 Absatz 1 bis 3 und 5 des Rechtsanwaltsvergütungsgesetzes ist auf den beigeordneten Rechtsanwalt (§ 7) entsprechend anzuwenden. Gegen den Beschluss nach § 52 Absatz 2 des Rechtsanwaltsvergütungsgesetzes ist die Beschwerde statthaft; § 16 Absatz 2 ist anzuwenden.</w:t>
      </w:r>
    </w:p>
    <w:p>
      <w:r>
        <w:t xml:space="preserve">(3) Der beigeordnete Rechtsanwalt erhält für seine Tätigkeit nach rechtskräftigem Abschluss eines Verfahrens nach Absatz 1 bis zur ersten Tätigkeit in einem weiteren Verfahren eine Verfahrensgebühr nach Nummer 6302 des Vergütungsverzeichnisses zum Rechtsanwaltsvergütungsgesetz. Die Tätigkeit nach Satz 1 ist eine besondere Angelegenheit im Sinne des Rechtsanwaltsvergütungsgesetzes.</w:t>
      </w:r>
    </w:p>
    <w:p>
      <w:r>
        <w:rPr>
          <w:color w:val="555555"/>
          <w:sz w:val="17"/>
        </w:rPr>
        <w:t xml:space="preserve">Zitiervorschlag: § 20 ThUG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https://recht.nulegal.eu/gesetze/ThUG/20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